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80" w:line="275.9999785714285" w:lineRule="auto"/>
        <w:rPr>
          <w:b w:val="1"/>
          <w:color w:val="0f4761"/>
          <w:sz w:val="28"/>
          <w:szCs w:val="28"/>
        </w:rPr>
      </w:pPr>
      <w:r w:rsidDel="00000000" w:rsidR="00000000" w:rsidRPr="00000000">
        <w:rPr>
          <w:b w:val="1"/>
          <w:color w:val="0f4761"/>
          <w:sz w:val="28"/>
          <w:szCs w:val="28"/>
          <w:rtl w:val="0"/>
        </w:rPr>
        <w:t xml:space="preserve">Table of contents</w:t>
      </w:r>
    </w:p>
    <w:p w:rsidR="00000000" w:rsidDel="00000000" w:rsidP="00000000" w:rsidRDefault="00000000" w:rsidRPr="00000000" w14:paraId="00000002">
      <w:pPr>
        <w:spacing w:before="120" w:line="276.00000545454543" w:lineRule="auto"/>
        <w:ind w:left="240" w:firstLine="0"/>
        <w:rPr>
          <w:b w:val="1"/>
          <w:color w:val="96607d"/>
          <w:u w:val="single"/>
        </w:rPr>
      </w:pPr>
      <w:r w:rsidDel="00000000" w:rsidR="00000000" w:rsidRPr="00000000">
        <w:rPr>
          <w:b w:val="1"/>
          <w:color w:val="96607d"/>
          <w:u w:val="single"/>
          <w:rtl w:val="0"/>
        </w:rPr>
        <w:t xml:space="preserve">Evaluating Business Scales: A Data-Driven Analysis of Micro, Small, Medium, and Large Enterprises</w:t>
      </w:r>
    </w:p>
    <w:p w:rsidR="00000000" w:rsidDel="00000000" w:rsidP="00000000" w:rsidRDefault="00000000" w:rsidRPr="00000000" w14:paraId="00000003">
      <w:pPr>
        <w:spacing w:before="120" w:line="276.00000545454543" w:lineRule="auto"/>
        <w:ind w:left="240" w:firstLine="0"/>
        <w:rPr>
          <w:b w:val="1"/>
          <w:color w:val="96607d"/>
          <w:u w:val="single"/>
        </w:rPr>
      </w:pPr>
      <w:r w:rsidDel="00000000" w:rsidR="00000000" w:rsidRPr="00000000">
        <w:rPr>
          <w:b w:val="1"/>
          <w:color w:val="96607d"/>
          <w:u w:val="single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spacing w:before="120" w:line="276.00000545454543" w:lineRule="auto"/>
        <w:ind w:left="240" w:firstLine="0"/>
        <w:rPr>
          <w:b w:val="1"/>
          <w:color w:val="96607d"/>
          <w:u w:val="single"/>
        </w:rPr>
      </w:pPr>
      <w:r w:rsidDel="00000000" w:rsidR="00000000" w:rsidRPr="00000000">
        <w:rPr>
          <w:b w:val="1"/>
          <w:color w:val="96607d"/>
          <w:u w:val="single"/>
          <w:rtl w:val="0"/>
        </w:rPr>
        <w:t xml:space="preserve">Methodology</w:t>
      </w:r>
    </w:p>
    <w:p w:rsidR="00000000" w:rsidDel="00000000" w:rsidP="00000000" w:rsidRDefault="00000000" w:rsidRPr="00000000" w14:paraId="00000005">
      <w:pPr>
        <w:spacing w:before="120" w:line="276.00000545454543" w:lineRule="auto"/>
        <w:ind w:left="240" w:firstLine="0"/>
        <w:rPr>
          <w:b w:val="1"/>
          <w:color w:val="96607d"/>
          <w:u w:val="single"/>
        </w:rPr>
      </w:pPr>
      <w:r w:rsidDel="00000000" w:rsidR="00000000" w:rsidRPr="00000000">
        <w:rPr>
          <w:b w:val="1"/>
          <w:color w:val="96607d"/>
          <w:u w:val="single"/>
          <w:rtl w:val="0"/>
        </w:rPr>
        <w:t xml:space="preserve">Interpretation of data</w:t>
      </w:r>
    </w:p>
    <w:p w:rsidR="00000000" w:rsidDel="00000000" w:rsidP="00000000" w:rsidRDefault="00000000" w:rsidRPr="00000000" w14:paraId="00000006">
      <w:pPr>
        <w:spacing w:before="120" w:line="276.00000545454543" w:lineRule="auto"/>
        <w:ind w:left="240" w:firstLine="0"/>
        <w:rPr>
          <w:b w:val="1"/>
          <w:color w:val="96607d"/>
          <w:u w:val="single"/>
        </w:rPr>
      </w:pPr>
      <w:r w:rsidDel="00000000" w:rsidR="00000000" w:rsidRPr="00000000">
        <w:rPr>
          <w:b w:val="1"/>
          <w:color w:val="96607d"/>
          <w:u w:val="single"/>
          <w:rtl w:val="0"/>
        </w:rPr>
        <w:t xml:space="preserve">Appraisal of business differences</w:t>
      </w:r>
    </w:p>
    <w:p w:rsidR="00000000" w:rsidDel="00000000" w:rsidP="00000000" w:rsidRDefault="00000000" w:rsidRPr="00000000" w14:paraId="00000007">
      <w:pPr>
        <w:spacing w:before="120" w:line="276.00000545454543" w:lineRule="auto"/>
        <w:ind w:left="240" w:firstLine="0"/>
        <w:rPr>
          <w:b w:val="1"/>
          <w:color w:val="96607d"/>
          <w:u w:val="single"/>
        </w:rPr>
      </w:pPr>
      <w:r w:rsidDel="00000000" w:rsidR="00000000" w:rsidRPr="00000000">
        <w:rPr>
          <w:b w:val="1"/>
          <w:color w:val="96607d"/>
          <w:u w:val="single"/>
          <w:rtl w:val="0"/>
        </w:rPr>
        <w:t xml:space="preserve">Conclusion</w:t>
      </w:r>
    </w:p>
    <w:p w:rsidR="00000000" w:rsidDel="00000000" w:rsidP="00000000" w:rsidRDefault="00000000" w:rsidRPr="00000000" w14:paraId="00000008">
      <w:pPr>
        <w:spacing w:before="120" w:line="276.00000545454543" w:lineRule="auto"/>
        <w:ind w:left="240" w:firstLine="0"/>
        <w:rPr>
          <w:b w:val="1"/>
          <w:color w:val="96607d"/>
          <w:u w:val="single"/>
        </w:rPr>
      </w:pPr>
      <w:r w:rsidDel="00000000" w:rsidR="00000000" w:rsidRPr="00000000">
        <w:rPr>
          <w:b w:val="1"/>
          <w:color w:val="96607d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09">
      <w:pPr>
        <w:spacing w:before="120" w:line="276.00000545454543" w:lineRule="auto"/>
        <w:ind w:left="240" w:firstLine="0"/>
        <w:rPr>
          <w:b w:val="1"/>
          <w:color w:val="96607d"/>
          <w:u w:val="single"/>
        </w:rPr>
      </w:pPr>
      <w:r w:rsidDel="00000000" w:rsidR="00000000" w:rsidRPr="00000000">
        <w:rPr>
          <w:b w:val="1"/>
          <w:color w:val="96607d"/>
          <w:u w:val="single"/>
          <w:rtl w:val="0"/>
        </w:rPr>
        <w:t xml:space="preserve">Appendix 1</w:t>
      </w:r>
    </w:p>
    <w:p w:rsidR="00000000" w:rsidDel="00000000" w:rsidP="00000000" w:rsidRDefault="00000000" w:rsidRPr="00000000" w14:paraId="0000000A">
      <w:pPr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e0e0e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e0e0e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before="160" w:line="259.7647235294118" w:lineRule="auto"/>
        <w:rPr>
          <w:color w:val="0f4761"/>
        </w:rPr>
      </w:pPr>
      <w:bookmarkStart w:colFirst="0" w:colLast="0" w:name="_jjuw8dnf9pox" w:id="0"/>
      <w:bookmarkEnd w:id="0"/>
      <w:r w:rsidDel="00000000" w:rsidR="00000000" w:rsidRPr="00000000">
        <w:rPr>
          <w:color w:val="0f4761"/>
          <w:rtl w:val="0"/>
        </w:rPr>
        <w:t xml:space="preserve">Introduction</w:t>
      </w:r>
    </w:p>
    <w:p w:rsidR="00000000" w:rsidDel="00000000" w:rsidP="00000000" w:rsidRDefault="00000000" w:rsidRPr="00000000" w14:paraId="00000011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b w:val="1"/>
          <w:color w:val="0e0e0e"/>
        </w:rPr>
      </w:pPr>
      <w:r w:rsidDel="00000000" w:rsidR="00000000" w:rsidRPr="00000000">
        <w:rPr>
          <w:b w:val="1"/>
          <w:color w:val="0e0e0e"/>
          <w:rtl w:val="0"/>
        </w:rPr>
        <w:t xml:space="preserve">(200-300 words)</w:t>
      </w:r>
    </w:p>
    <w:p w:rsidR="00000000" w:rsidDel="00000000" w:rsidP="00000000" w:rsidRDefault="00000000" w:rsidRPr="00000000" w14:paraId="00000013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Briefly introduce the purpose of the report.</w:t>
      </w:r>
    </w:p>
    <w:p w:rsidR="00000000" w:rsidDel="00000000" w:rsidP="00000000" w:rsidRDefault="00000000" w:rsidRPr="00000000" w14:paraId="00000014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Explain the significance of micro, small, medium, and large businesses in the economy.</w:t>
      </w:r>
    </w:p>
    <w:p w:rsidR="00000000" w:rsidDel="00000000" w:rsidP="00000000" w:rsidRDefault="00000000" w:rsidRPr="00000000" w14:paraId="00000015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Outline the structure of the report.</w:t>
      </w:r>
    </w:p>
    <w:p w:rsidR="00000000" w:rsidDel="00000000" w:rsidP="00000000" w:rsidRDefault="00000000" w:rsidRPr="00000000" w14:paraId="00000016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before="160" w:line="259.7647235294118" w:lineRule="auto"/>
        <w:rPr>
          <w:color w:val="0f4761"/>
        </w:rPr>
      </w:pPr>
      <w:bookmarkStart w:colFirst="0" w:colLast="0" w:name="_p66n9kkrf7jj" w:id="1"/>
      <w:bookmarkEnd w:id="1"/>
      <w:r w:rsidDel="00000000" w:rsidR="00000000" w:rsidRPr="00000000">
        <w:rPr>
          <w:color w:val="0f4761"/>
          <w:rtl w:val="0"/>
        </w:rPr>
        <w:t xml:space="preserve">Methodology</w:t>
      </w:r>
    </w:p>
    <w:p w:rsidR="00000000" w:rsidDel="00000000" w:rsidP="00000000" w:rsidRDefault="00000000" w:rsidRPr="00000000" w14:paraId="00000019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  <w:color w:val="0e0e0e"/>
        </w:rPr>
      </w:pPr>
      <w:r w:rsidDel="00000000" w:rsidR="00000000" w:rsidRPr="00000000">
        <w:rPr>
          <w:b w:val="1"/>
          <w:color w:val="0e0e0e"/>
          <w:rtl w:val="0"/>
        </w:rPr>
        <w:t xml:space="preserve">(150-200 words)</w:t>
      </w:r>
    </w:p>
    <w:p w:rsidR="00000000" w:rsidDel="00000000" w:rsidP="00000000" w:rsidRDefault="00000000" w:rsidRPr="00000000" w14:paraId="0000001B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Describe the data set provided and how it was analyzed.</w:t>
      </w:r>
    </w:p>
    <w:p w:rsidR="00000000" w:rsidDel="00000000" w:rsidP="00000000" w:rsidRDefault="00000000" w:rsidRPr="00000000" w14:paraId="0000001C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Mention any frameworks or models used in the interpretation.</w:t>
      </w:r>
    </w:p>
    <w:p w:rsidR="00000000" w:rsidDel="00000000" w:rsidP="00000000" w:rsidRDefault="00000000" w:rsidRPr="00000000" w14:paraId="0000001D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Explain any limitations of the data.</w:t>
      </w:r>
    </w:p>
    <w:p w:rsidR="00000000" w:rsidDel="00000000" w:rsidP="00000000" w:rsidRDefault="00000000" w:rsidRPr="00000000" w14:paraId="0000001E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before="160" w:line="259.7647235294118" w:lineRule="auto"/>
        <w:rPr>
          <w:color w:val="0f4761"/>
        </w:rPr>
      </w:pPr>
      <w:bookmarkStart w:colFirst="0" w:colLast="0" w:name="_gs7me04076md" w:id="2"/>
      <w:bookmarkEnd w:id="2"/>
      <w:r w:rsidDel="00000000" w:rsidR="00000000" w:rsidRPr="00000000">
        <w:rPr>
          <w:color w:val="0f4761"/>
          <w:rtl w:val="0"/>
        </w:rPr>
        <w:t xml:space="preserve">Interpretation of data</w:t>
      </w:r>
    </w:p>
    <w:p w:rsidR="00000000" w:rsidDel="00000000" w:rsidP="00000000" w:rsidRDefault="00000000" w:rsidRPr="00000000" w14:paraId="00000021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b w:val="1"/>
          <w:color w:val="0e0e0e"/>
        </w:rPr>
      </w:pPr>
      <w:r w:rsidDel="00000000" w:rsidR="00000000" w:rsidRPr="00000000">
        <w:rPr>
          <w:b w:val="1"/>
          <w:color w:val="0e0e0e"/>
          <w:rtl w:val="0"/>
        </w:rPr>
        <w:t xml:space="preserve">(500-600 words)</w:t>
      </w:r>
    </w:p>
    <w:p w:rsidR="00000000" w:rsidDel="00000000" w:rsidP="00000000" w:rsidRDefault="00000000" w:rsidRPr="00000000" w14:paraId="00000023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Analyze the key statistics for micro and small businesses.</w:t>
      </w:r>
    </w:p>
    <w:p w:rsidR="00000000" w:rsidDel="00000000" w:rsidP="00000000" w:rsidRDefault="00000000" w:rsidRPr="00000000" w14:paraId="00000024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Compare the characteristics of different business sizes (e.g., revenue, employment, market presence).</w:t>
      </w:r>
    </w:p>
    <w:p w:rsidR="00000000" w:rsidDel="00000000" w:rsidP="00000000" w:rsidRDefault="00000000" w:rsidRPr="00000000" w14:paraId="00000025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Highlight trends and patterns in the data.</w:t>
      </w:r>
    </w:p>
    <w:p w:rsidR="00000000" w:rsidDel="00000000" w:rsidP="00000000" w:rsidRDefault="00000000" w:rsidRPr="00000000" w14:paraId="00000026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before="160" w:line="259.7647235294118" w:lineRule="auto"/>
        <w:rPr>
          <w:color w:val="0f4761"/>
        </w:rPr>
      </w:pPr>
      <w:bookmarkStart w:colFirst="0" w:colLast="0" w:name="_r6inroz2n30z" w:id="3"/>
      <w:bookmarkEnd w:id="3"/>
      <w:r w:rsidDel="00000000" w:rsidR="00000000" w:rsidRPr="00000000">
        <w:rPr>
          <w:color w:val="0f4761"/>
          <w:rtl w:val="0"/>
        </w:rPr>
        <w:t xml:space="preserve">Appraisal of business differences</w:t>
      </w:r>
    </w:p>
    <w:p w:rsidR="00000000" w:rsidDel="00000000" w:rsidP="00000000" w:rsidRDefault="00000000" w:rsidRPr="00000000" w14:paraId="00000028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b w:val="1"/>
          <w:color w:val="0e0e0e"/>
        </w:rPr>
      </w:pPr>
      <w:r w:rsidDel="00000000" w:rsidR="00000000" w:rsidRPr="00000000">
        <w:rPr>
          <w:b w:val="1"/>
          <w:color w:val="0e0e0e"/>
          <w:rtl w:val="0"/>
        </w:rPr>
        <w:t xml:space="preserve">(500-600 words)</w:t>
      </w:r>
    </w:p>
    <w:p w:rsidR="00000000" w:rsidDel="00000000" w:rsidP="00000000" w:rsidRDefault="00000000" w:rsidRPr="00000000" w14:paraId="0000002A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Discuss how micro, small, medium, and large enterprises contribute to the economy at different levels:</w:t>
      </w:r>
    </w:p>
    <w:p w:rsidR="00000000" w:rsidDel="00000000" w:rsidP="00000000" w:rsidRDefault="00000000" w:rsidRPr="00000000" w14:paraId="0000002B">
      <w:pPr>
        <w:spacing w:before="180" w:lineRule="auto"/>
        <w:ind w:left="1000" w:hanging="5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        •                  </w:t>
      </w:r>
      <w:r w:rsidDel="00000000" w:rsidR="00000000" w:rsidRPr="00000000">
        <w:rPr>
          <w:b w:val="1"/>
          <w:color w:val="0e0e0e"/>
          <w:rtl w:val="0"/>
        </w:rPr>
        <w:t xml:space="preserve">Local</w:t>
      </w:r>
      <w:r w:rsidDel="00000000" w:rsidR="00000000" w:rsidRPr="00000000">
        <w:rPr>
          <w:color w:val="0e0e0e"/>
          <w:rtl w:val="0"/>
        </w:rPr>
        <w:t xml:space="preserve"> (e.g., community employment, small-scale innovation).</w:t>
      </w:r>
    </w:p>
    <w:p w:rsidR="00000000" w:rsidDel="00000000" w:rsidP="00000000" w:rsidRDefault="00000000" w:rsidRPr="00000000" w14:paraId="0000002C">
      <w:pPr>
        <w:spacing w:before="180" w:lineRule="auto"/>
        <w:ind w:left="1000" w:hanging="5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        •                  </w:t>
      </w:r>
      <w:r w:rsidDel="00000000" w:rsidR="00000000" w:rsidRPr="00000000">
        <w:rPr>
          <w:b w:val="1"/>
          <w:color w:val="0e0e0e"/>
          <w:rtl w:val="0"/>
        </w:rPr>
        <w:t xml:space="preserve">Regional</w:t>
      </w:r>
      <w:r w:rsidDel="00000000" w:rsidR="00000000" w:rsidRPr="00000000">
        <w:rPr>
          <w:color w:val="0e0e0e"/>
          <w:rtl w:val="0"/>
        </w:rPr>
        <w:t xml:space="preserve"> (e.g., supply chain integration, business clusters).</w:t>
      </w:r>
    </w:p>
    <w:p w:rsidR="00000000" w:rsidDel="00000000" w:rsidP="00000000" w:rsidRDefault="00000000" w:rsidRPr="00000000" w14:paraId="0000002D">
      <w:pPr>
        <w:spacing w:before="180" w:lineRule="auto"/>
        <w:ind w:left="1000" w:hanging="5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        •                  </w:t>
      </w:r>
      <w:r w:rsidDel="00000000" w:rsidR="00000000" w:rsidRPr="00000000">
        <w:rPr>
          <w:b w:val="1"/>
          <w:color w:val="0e0e0e"/>
          <w:rtl w:val="0"/>
        </w:rPr>
        <w:t xml:space="preserve">National</w:t>
      </w:r>
      <w:r w:rsidDel="00000000" w:rsidR="00000000" w:rsidRPr="00000000">
        <w:rPr>
          <w:color w:val="0e0e0e"/>
          <w:rtl w:val="0"/>
        </w:rPr>
        <w:t xml:space="preserve"> (e.g., GDP contribution, industry influence).</w:t>
      </w:r>
    </w:p>
    <w:p w:rsidR="00000000" w:rsidDel="00000000" w:rsidP="00000000" w:rsidRDefault="00000000" w:rsidRPr="00000000" w14:paraId="0000002E">
      <w:pPr>
        <w:spacing w:before="180" w:lineRule="auto"/>
        <w:ind w:left="1000" w:hanging="5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        •                  </w:t>
      </w:r>
      <w:r w:rsidDel="00000000" w:rsidR="00000000" w:rsidRPr="00000000">
        <w:rPr>
          <w:b w:val="1"/>
          <w:color w:val="0e0e0e"/>
          <w:rtl w:val="0"/>
        </w:rPr>
        <w:t xml:space="preserve">International</w:t>
      </w:r>
      <w:r w:rsidDel="00000000" w:rsidR="00000000" w:rsidRPr="00000000">
        <w:rPr>
          <w:color w:val="0e0e0e"/>
          <w:rtl w:val="0"/>
        </w:rPr>
        <w:t xml:space="preserve"> (e.g., multinational corporations, global trade impact).</w:t>
      </w:r>
    </w:p>
    <w:p w:rsidR="00000000" w:rsidDel="00000000" w:rsidP="00000000" w:rsidRDefault="00000000" w:rsidRPr="00000000" w14:paraId="0000002F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Evaluate challenges and opportunities for each business type.</w:t>
      </w:r>
    </w:p>
    <w:p w:rsidR="00000000" w:rsidDel="00000000" w:rsidP="00000000" w:rsidRDefault="00000000" w:rsidRPr="00000000" w14:paraId="00000030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before="160" w:line="259.7647235294118" w:lineRule="auto"/>
        <w:rPr>
          <w:color w:val="0f4761"/>
        </w:rPr>
      </w:pPr>
      <w:bookmarkStart w:colFirst="0" w:colLast="0" w:name="_lqj4mqutv95e" w:id="4"/>
      <w:bookmarkEnd w:id="4"/>
      <w:r w:rsidDel="00000000" w:rsidR="00000000" w:rsidRPr="00000000">
        <w:rPr>
          <w:color w:val="0f4761"/>
          <w:rtl w:val="0"/>
        </w:rPr>
        <w:t xml:space="preserve">Conclusion</w:t>
      </w:r>
    </w:p>
    <w:p w:rsidR="00000000" w:rsidDel="00000000" w:rsidP="00000000" w:rsidRDefault="00000000" w:rsidRPr="00000000" w14:paraId="00000033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b w:val="1"/>
          <w:color w:val="0e0e0e"/>
        </w:rPr>
      </w:pPr>
      <w:r w:rsidDel="00000000" w:rsidR="00000000" w:rsidRPr="00000000">
        <w:rPr>
          <w:b w:val="1"/>
          <w:color w:val="0e0e0e"/>
          <w:rtl w:val="0"/>
        </w:rPr>
        <w:t xml:space="preserve">(200-300 words)</w:t>
      </w:r>
    </w:p>
    <w:p w:rsidR="00000000" w:rsidDel="00000000" w:rsidP="00000000" w:rsidRDefault="00000000" w:rsidRPr="00000000" w14:paraId="00000035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Summarize key insights from the data analysis.</w:t>
      </w:r>
    </w:p>
    <w:p w:rsidR="00000000" w:rsidDel="00000000" w:rsidP="00000000" w:rsidRDefault="00000000" w:rsidRPr="00000000" w14:paraId="00000036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Provide recommendations for businesses and policymakers.</w:t>
      </w:r>
    </w:p>
    <w:p w:rsidR="00000000" w:rsidDel="00000000" w:rsidP="00000000" w:rsidRDefault="00000000" w:rsidRPr="00000000" w14:paraId="00000037">
      <w:pPr>
        <w:spacing w:before="180" w:lineRule="auto"/>
        <w:ind w:left="400" w:hanging="200"/>
        <w:rPr>
          <w:color w:val="0e0e0e"/>
        </w:rPr>
      </w:pPr>
      <w:r w:rsidDel="00000000" w:rsidR="00000000" w:rsidRPr="00000000">
        <w:rPr>
          <w:color w:val="0e0e0e"/>
          <w:rtl w:val="0"/>
        </w:rPr>
        <w:t xml:space="preserve">     •                         Address potential future trends.</w:t>
      </w:r>
    </w:p>
    <w:p w:rsidR="00000000" w:rsidDel="00000000" w:rsidP="00000000" w:rsidRDefault="00000000" w:rsidRPr="00000000" w14:paraId="00000038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before="160" w:line="259.7647235294118" w:lineRule="auto"/>
        <w:rPr>
          <w:color w:val="0f4761"/>
        </w:rPr>
      </w:pPr>
      <w:bookmarkStart w:colFirst="0" w:colLast="0" w:name="_muqb8m9tqwn9" w:id="5"/>
      <w:bookmarkEnd w:id="5"/>
      <w:r w:rsidDel="00000000" w:rsidR="00000000" w:rsidRPr="00000000">
        <w:rPr>
          <w:color w:val="0f4761"/>
          <w:rtl w:val="0"/>
        </w:rPr>
        <w:t xml:space="preserve">References</w:t>
      </w:r>
    </w:p>
    <w:p w:rsidR="00000000" w:rsidDel="00000000" w:rsidP="00000000" w:rsidRDefault="00000000" w:rsidRPr="00000000" w14:paraId="0000003B">
      <w:pPr>
        <w:spacing w:after="160" w:line="301.0909090909090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Katsinis, A., Lagüera-González, J. and Bella, D. (2024). </w:t>
      </w:r>
      <w:r w:rsidDel="00000000" w:rsidR="00000000" w:rsidRPr="00000000">
        <w:rPr>
          <w:rFonts w:ascii="Calibri" w:cs="Calibri" w:eastAsia="Calibri" w:hAnsi="Calibri"/>
          <w:i w:val="1"/>
          <w:sz w:val="27"/>
          <w:szCs w:val="27"/>
          <w:rtl w:val="0"/>
        </w:rPr>
        <w:t xml:space="preserve">EUROPEAN COMMISSION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 [online] Available at: </w:t>
      </w:r>
      <w:hyperlink r:id="rId6">
        <w:r w:rsidDel="00000000" w:rsidR="00000000" w:rsidRPr="00000000">
          <w:rPr>
            <w:rFonts w:ascii="Calibri" w:cs="Calibri" w:eastAsia="Calibri" w:hAnsi="Calibri"/>
            <w:color w:val="96607d"/>
            <w:sz w:val="27"/>
            <w:szCs w:val="27"/>
            <w:u w:val="single"/>
            <w:rtl w:val="0"/>
          </w:rPr>
          <w:t xml:space="preserve">https://single-market-economy.ec.europa.eu/document/download/2bef0eda-2f75-497d-982e-c0d1cea57c0e_en?filename=Annual%20Report%20on%20European%20SMEs%202024.pdf</w:t>
        </w:r>
      </w:hyperlink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Europa.eu. (2025). </w:t>
      </w:r>
      <w:r w:rsidDel="00000000" w:rsidR="00000000" w:rsidRPr="00000000">
        <w:rPr>
          <w:rFonts w:ascii="Calibri" w:cs="Calibri" w:eastAsia="Calibri" w:hAnsi="Calibri"/>
          <w:i w:val="1"/>
          <w:sz w:val="27"/>
          <w:szCs w:val="27"/>
          <w:rtl w:val="0"/>
        </w:rPr>
        <w:t xml:space="preserve">DocsRoom - European Commission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 [online] Available at: </w:t>
      </w:r>
      <w:hyperlink r:id="rId7">
        <w:r w:rsidDel="00000000" w:rsidR="00000000" w:rsidRPr="00000000">
          <w:rPr>
            <w:rFonts w:ascii="Calibri" w:cs="Calibri" w:eastAsia="Calibri" w:hAnsi="Calibri"/>
            <w:color w:val="96607d"/>
            <w:sz w:val="27"/>
            <w:szCs w:val="27"/>
            <w:u w:val="single"/>
            <w:rtl w:val="0"/>
          </w:rPr>
          <w:t xml:space="preserve">https://ec.europa.eu/docsroom/documents/60562</w:t>
        </w:r>
      </w:hyperlink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3F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Email (2024). </w:t>
      </w:r>
      <w:r w:rsidDel="00000000" w:rsidR="00000000" w:rsidRPr="00000000">
        <w:rPr>
          <w:rFonts w:ascii="Calibri" w:cs="Calibri" w:eastAsia="Calibri" w:hAnsi="Calibri"/>
          <w:i w:val="1"/>
          <w:sz w:val="27"/>
          <w:szCs w:val="27"/>
          <w:rtl w:val="0"/>
        </w:rPr>
        <w:t xml:space="preserve">Financial Quarter of Finland – Finrepo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 [online] finrepo.fi. Available at: </w:t>
      </w:r>
      <w:hyperlink r:id="rId8">
        <w:r w:rsidDel="00000000" w:rsidR="00000000" w:rsidRPr="00000000">
          <w:rPr>
            <w:rFonts w:ascii="Calibri" w:cs="Calibri" w:eastAsia="Calibri" w:hAnsi="Calibri"/>
            <w:color w:val="96607d"/>
            <w:sz w:val="27"/>
            <w:szCs w:val="27"/>
            <w:u w:val="single"/>
            <w:rtl w:val="0"/>
          </w:rPr>
          <w:t xml:space="preserve">https://finrepo.fi/en/entrepreneurship-in-finland#1</w:t>
        </w:r>
      </w:hyperlink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color w:val="0e0e0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e0e0e"/>
          <w:sz w:val="24"/>
          <w:szCs w:val="24"/>
          <w:rtl w:val="0"/>
        </w:rPr>
        <w:t xml:space="preserve">Business Finland (2023)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e0e0e"/>
          <w:sz w:val="24"/>
          <w:szCs w:val="24"/>
          <w:rtl w:val="0"/>
        </w:rPr>
        <w:t xml:space="preserve">Results and impact 2023</w:t>
      </w:r>
      <w:r w:rsidDel="00000000" w:rsidR="00000000" w:rsidRPr="00000000">
        <w:rPr>
          <w:rFonts w:ascii="Times New Roman" w:cs="Times New Roman" w:eastAsia="Times New Roman" w:hAnsi="Times New Roman"/>
          <w:color w:val="0e0e0e"/>
          <w:sz w:val="24"/>
          <w:szCs w:val="24"/>
          <w:rtl w:val="0"/>
        </w:rPr>
        <w:t xml:space="preserve">. Available at: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96607d"/>
            <w:sz w:val="24"/>
            <w:szCs w:val="24"/>
            <w:u w:val="single"/>
            <w:rtl w:val="0"/>
          </w:rPr>
          <w:t xml:space="preserve">https://www.businessfinland.fi/496215/globalassets/finnish-customers/about-us/results-and-impact/results-and-impact-2023.pdf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e0e0e"/>
          <w:sz w:val="24"/>
          <w:szCs w:val="24"/>
          <w:rtl w:val="0"/>
        </w:rPr>
        <w:t xml:space="preserve"> (Accessed: 29 January 2025).</w:t>
      </w:r>
    </w:p>
    <w:p w:rsidR="00000000" w:rsidDel="00000000" w:rsidP="00000000" w:rsidRDefault="00000000" w:rsidRPr="00000000" w14:paraId="00000043">
      <w:pPr>
        <w:shd w:fill="ffffff" w:val="clear"/>
        <w:spacing w:line="392.7272727272727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OECD. (2025). </w:t>
      </w:r>
      <w:r w:rsidDel="00000000" w:rsidR="00000000" w:rsidRPr="00000000">
        <w:rPr>
          <w:rFonts w:ascii="Calibri" w:cs="Calibri" w:eastAsia="Calibri" w:hAnsi="Calibri"/>
          <w:i w:val="1"/>
          <w:sz w:val="27"/>
          <w:szCs w:val="27"/>
          <w:rtl w:val="0"/>
        </w:rPr>
        <w:t xml:space="preserve">Full Report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 [online] Available at: </w:t>
      </w:r>
      <w:hyperlink r:id="rId10">
        <w:r w:rsidDel="00000000" w:rsidR="00000000" w:rsidRPr="00000000">
          <w:rPr>
            <w:rFonts w:ascii="Calibri" w:cs="Calibri" w:eastAsia="Calibri" w:hAnsi="Calibri"/>
            <w:color w:val="96607d"/>
            <w:sz w:val="27"/>
            <w:szCs w:val="27"/>
            <w:u w:val="single"/>
            <w:rtl w:val="0"/>
          </w:rPr>
          <w:t xml:space="preserve">https://www.oecd.org/en/publications/oecd-sme-and-entrepreneurship-outlook-2023_342b8564-en/full-report.html#section-d1e1234-cb21db7bf2</w:t>
        </w:r>
      </w:hyperlink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45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International Growth Centre. (2024). </w:t>
      </w:r>
      <w:r w:rsidDel="00000000" w:rsidR="00000000" w:rsidRPr="00000000">
        <w:rPr>
          <w:rFonts w:ascii="Calibri" w:cs="Calibri" w:eastAsia="Calibri" w:hAnsi="Calibri"/>
          <w:i w:val="1"/>
          <w:sz w:val="27"/>
          <w:szCs w:val="27"/>
          <w:rtl w:val="0"/>
        </w:rPr>
        <w:t xml:space="preserve">Why do SMEs matter?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[online] Available at: </w:t>
      </w:r>
      <w:hyperlink r:id="rId11">
        <w:r w:rsidDel="00000000" w:rsidR="00000000" w:rsidRPr="00000000">
          <w:rPr>
            <w:rFonts w:ascii="Calibri" w:cs="Calibri" w:eastAsia="Calibri" w:hAnsi="Calibri"/>
            <w:color w:val="96607d"/>
            <w:sz w:val="27"/>
            <w:szCs w:val="27"/>
            <w:u w:val="single"/>
            <w:rtl w:val="0"/>
          </w:rPr>
          <w:t xml:space="preserve">https://www.theigc.org/publications/why-do-smes-matter</w:t>
        </w:r>
      </w:hyperlink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47">
      <w:pPr>
        <w:shd w:fill="ffffff" w:val="clear"/>
        <w:spacing w:line="392.72727272727275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Appendix 1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heigc.org/publications/why-do-smes-matter" TargetMode="External"/><Relationship Id="rId10" Type="http://schemas.openxmlformats.org/officeDocument/2006/relationships/hyperlink" Target="https://www.oecd.org/en/publications/oecd-sme-and-entrepreneurship-outlook-2023_342b8564-en/full-report.html#section-d1e1234-cb21db7bf2" TargetMode="External"/><Relationship Id="rId9" Type="http://schemas.openxmlformats.org/officeDocument/2006/relationships/hyperlink" Target="https://www.businessfinland.fi/496215/globalassets/finnish-customers/about-us/results-and-impact/results-and-impact-2023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single-market-economy.ec.europa.eu/document/download/2bef0eda-2f75-497d-982e-c0d1cea57c0e_en?filename=Annual%20Report%20on%20European%20SMEs%202024.pdf" TargetMode="External"/><Relationship Id="rId7" Type="http://schemas.openxmlformats.org/officeDocument/2006/relationships/hyperlink" Target="https://ec.europa.eu/docsroom/documents/60562" TargetMode="External"/><Relationship Id="rId8" Type="http://schemas.openxmlformats.org/officeDocument/2006/relationships/hyperlink" Target="https://finrepo.fi/en/entrepreneurship-in-finland#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