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F7B5C" w14:textId="3461FB04" w:rsidR="00B43747" w:rsidRPr="00DB667D" w:rsidRDefault="001E71AC" w:rsidP="001E71AC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7F7F7F" w:themeColor="text1" w:themeTint="80"/>
          <w:sz w:val="28"/>
          <w:szCs w:val="28"/>
        </w:rPr>
      </w:pPr>
      <w:r w:rsidRPr="00393B67">
        <w:rPr>
          <w:rFonts w:ascii="Arial" w:eastAsiaTheme="minorHAnsi" w:hAnsi="Arial" w:cs="Arial"/>
          <w:b/>
          <w:bCs/>
          <w:color w:val="800000"/>
          <w:sz w:val="44"/>
          <w:szCs w:val="44"/>
        </w:rPr>
        <w:t xml:space="preserve">The Components of </w:t>
      </w:r>
    </w:p>
    <w:p w14:paraId="11B2E0F0" w14:textId="48581F26" w:rsidR="001E71AC" w:rsidRPr="00393B67" w:rsidRDefault="001E71AC" w:rsidP="001E71AC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800000"/>
          <w:sz w:val="110"/>
          <w:szCs w:val="110"/>
        </w:rPr>
      </w:pPr>
      <w:r w:rsidRPr="00393B67">
        <w:rPr>
          <w:rFonts w:ascii="Arial" w:eastAsiaTheme="minorHAnsi" w:hAnsi="Arial" w:cs="Arial"/>
          <w:b/>
          <w:bCs/>
          <w:color w:val="800000"/>
          <w:sz w:val="110"/>
          <w:szCs w:val="110"/>
        </w:rPr>
        <w:t>GUI</w:t>
      </w:r>
      <w:r w:rsidRPr="00AF42A4">
        <w:rPr>
          <w:rFonts w:ascii="Arial" w:eastAsiaTheme="minorHAnsi" w:hAnsi="Arial" w:cs="Arial"/>
          <w:b/>
          <w:bCs/>
          <w:color w:val="800000"/>
          <w:sz w:val="110"/>
          <w:szCs w:val="110"/>
        </w:rPr>
        <w:t>DES</w:t>
      </w:r>
    </w:p>
    <w:p w14:paraId="220BBE14" w14:textId="59E16312" w:rsidR="001E71AC" w:rsidRPr="00DB667D" w:rsidRDefault="001E71AC" w:rsidP="005176C2">
      <w:pPr>
        <w:widowControl w:val="0"/>
        <w:autoSpaceDE w:val="0"/>
        <w:autoSpaceDN w:val="0"/>
        <w:adjustRightInd w:val="0"/>
        <w:spacing w:before="240" w:after="120"/>
        <w:ind w:firstLine="720"/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</w:pPr>
      <w:r w:rsidRPr="00B230B3">
        <w:rPr>
          <w:rFonts w:ascii="Arial" w:eastAsiaTheme="minorHAnsi" w:hAnsi="Arial" w:cs="Arial"/>
          <w:b/>
          <w:bCs/>
          <w:color w:val="800000"/>
          <w:sz w:val="40"/>
          <w:szCs w:val="32"/>
        </w:rPr>
        <w:t>G</w:t>
      </w:r>
      <w:r w:rsidRPr="00393B67">
        <w:rPr>
          <w:rFonts w:ascii="Arial" w:eastAsiaTheme="minorHAnsi" w:hAnsi="Arial" w:cs="Arial"/>
          <w:b/>
          <w:bCs/>
          <w:color w:val="7F7F7F" w:themeColor="text1" w:themeTint="80"/>
          <w:sz w:val="32"/>
          <w:szCs w:val="32"/>
        </w:rPr>
        <w:t xml:space="preserve">:   </w:t>
      </w:r>
      <w:r w:rsidRPr="00DB667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  <w:t xml:space="preserve">GDP </w:t>
      </w:r>
      <w:r w:rsidR="00D456D1" w:rsidRPr="00DB667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  <w:t>&amp;</w:t>
      </w:r>
      <w:r w:rsidRPr="00DB667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  <w:t xml:space="preserve"> Growth</w:t>
      </w:r>
    </w:p>
    <w:p w14:paraId="3787C7BA" w14:textId="5D7A35CD" w:rsidR="001E71AC" w:rsidRPr="00DB667D" w:rsidRDefault="001E71AC" w:rsidP="000E2D67">
      <w:pPr>
        <w:widowControl w:val="0"/>
        <w:autoSpaceDE w:val="0"/>
        <w:autoSpaceDN w:val="0"/>
        <w:adjustRightInd w:val="0"/>
        <w:spacing w:after="120"/>
        <w:ind w:firstLine="720"/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</w:pPr>
      <w:r w:rsidRPr="00B230B3">
        <w:rPr>
          <w:rFonts w:ascii="Arial" w:eastAsiaTheme="minorHAnsi" w:hAnsi="Arial" w:cs="Arial"/>
          <w:b/>
          <w:bCs/>
          <w:color w:val="800000"/>
          <w:sz w:val="40"/>
          <w:szCs w:val="32"/>
        </w:rPr>
        <w:t>U</w:t>
      </w:r>
      <w:r w:rsidRPr="00393B67">
        <w:rPr>
          <w:rFonts w:ascii="Arial" w:eastAsiaTheme="minorHAnsi" w:hAnsi="Arial" w:cs="Arial"/>
          <w:b/>
          <w:bCs/>
          <w:color w:val="7F7F7F" w:themeColor="text1" w:themeTint="80"/>
          <w:sz w:val="32"/>
          <w:szCs w:val="32"/>
        </w:rPr>
        <w:t xml:space="preserve">:   </w:t>
      </w:r>
      <w:r w:rsidRPr="00DB667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  <w:t xml:space="preserve">Unemployment </w:t>
      </w:r>
      <w:r w:rsidR="00D456D1" w:rsidRPr="00DB667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  <w:t>&amp;</w:t>
      </w:r>
      <w:r w:rsidRPr="00DB667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  <w:t xml:space="preserve"> Utilization</w:t>
      </w:r>
    </w:p>
    <w:p w14:paraId="558D9A2F" w14:textId="18179E0E" w:rsidR="001E71AC" w:rsidRPr="00DB667D" w:rsidRDefault="001E71AC" w:rsidP="000E2D67">
      <w:pPr>
        <w:widowControl w:val="0"/>
        <w:autoSpaceDE w:val="0"/>
        <w:autoSpaceDN w:val="0"/>
        <w:adjustRightInd w:val="0"/>
        <w:spacing w:after="120"/>
        <w:ind w:firstLine="720"/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</w:pPr>
      <w:r w:rsidRPr="00B230B3">
        <w:rPr>
          <w:rFonts w:ascii="Arial" w:eastAsiaTheme="minorHAnsi" w:hAnsi="Arial" w:cs="Arial"/>
          <w:b/>
          <w:bCs/>
          <w:color w:val="7F7F7F" w:themeColor="text1" w:themeTint="80"/>
          <w:sz w:val="40"/>
          <w:szCs w:val="32"/>
        </w:rPr>
        <w:t xml:space="preserve"> </w:t>
      </w:r>
      <w:r w:rsidRPr="00B230B3">
        <w:rPr>
          <w:rFonts w:ascii="Arial" w:eastAsiaTheme="minorHAnsi" w:hAnsi="Arial" w:cs="Arial"/>
          <w:b/>
          <w:bCs/>
          <w:color w:val="800000"/>
          <w:sz w:val="40"/>
          <w:szCs w:val="32"/>
        </w:rPr>
        <w:t>I</w:t>
      </w:r>
      <w:r w:rsidRPr="00393B67">
        <w:rPr>
          <w:rFonts w:ascii="Arial" w:eastAsiaTheme="minorHAnsi" w:hAnsi="Arial" w:cs="Arial"/>
          <w:b/>
          <w:bCs/>
          <w:color w:val="7F7F7F" w:themeColor="text1" w:themeTint="80"/>
          <w:sz w:val="32"/>
          <w:szCs w:val="32"/>
        </w:rPr>
        <w:t xml:space="preserve">:    </w:t>
      </w:r>
      <w:r w:rsidRPr="00DB667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  <w:t xml:space="preserve">Inflation </w:t>
      </w:r>
      <w:r w:rsidR="00D456D1" w:rsidRPr="00DB667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  <w:t>&amp;</w:t>
      </w:r>
      <w:r w:rsidRPr="00DB667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  <w:t xml:space="preserve"> Interest Rates</w:t>
      </w:r>
    </w:p>
    <w:p w14:paraId="05E1B57D" w14:textId="4B169646" w:rsidR="001E71AC" w:rsidRPr="00393B67" w:rsidRDefault="001E71AC" w:rsidP="000E2D67">
      <w:pPr>
        <w:widowControl w:val="0"/>
        <w:autoSpaceDE w:val="0"/>
        <w:autoSpaceDN w:val="0"/>
        <w:adjustRightInd w:val="0"/>
        <w:spacing w:after="120"/>
        <w:ind w:firstLine="720"/>
        <w:rPr>
          <w:rFonts w:ascii="Arial" w:eastAsiaTheme="minorHAnsi" w:hAnsi="Arial" w:cs="Arial"/>
          <w:b/>
          <w:bCs/>
          <w:color w:val="7F7F7F" w:themeColor="text1" w:themeTint="80"/>
          <w:sz w:val="32"/>
          <w:szCs w:val="32"/>
        </w:rPr>
      </w:pPr>
      <w:r w:rsidRPr="00B230B3">
        <w:rPr>
          <w:rFonts w:ascii="Arial" w:eastAsiaTheme="minorHAnsi" w:hAnsi="Arial" w:cs="Arial"/>
          <w:b/>
          <w:bCs/>
          <w:color w:val="800000"/>
          <w:sz w:val="40"/>
          <w:szCs w:val="32"/>
        </w:rPr>
        <w:t>D</w:t>
      </w:r>
      <w:r w:rsidRPr="00393B67">
        <w:rPr>
          <w:rFonts w:ascii="Arial" w:eastAsiaTheme="minorHAnsi" w:hAnsi="Arial" w:cs="Arial"/>
          <w:b/>
          <w:bCs/>
          <w:color w:val="7F7F7F" w:themeColor="text1" w:themeTint="80"/>
          <w:sz w:val="32"/>
          <w:szCs w:val="32"/>
        </w:rPr>
        <w:t xml:space="preserve">:   </w:t>
      </w:r>
      <w:r w:rsidRPr="00DB667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  <w:t>Debt &amp; Deficits</w:t>
      </w:r>
    </w:p>
    <w:p w14:paraId="6C66E1E4" w14:textId="3C8FE1C8" w:rsidR="001E71AC" w:rsidRPr="00393B67" w:rsidRDefault="001E71AC" w:rsidP="000E2D67">
      <w:pPr>
        <w:widowControl w:val="0"/>
        <w:autoSpaceDE w:val="0"/>
        <w:autoSpaceDN w:val="0"/>
        <w:adjustRightInd w:val="0"/>
        <w:spacing w:after="120"/>
        <w:ind w:firstLine="720"/>
        <w:rPr>
          <w:rFonts w:ascii="Arial" w:eastAsiaTheme="minorHAnsi" w:hAnsi="Arial" w:cs="Arial"/>
          <w:b/>
          <w:bCs/>
          <w:color w:val="7F7F7F" w:themeColor="text1" w:themeTint="80"/>
          <w:sz w:val="32"/>
          <w:szCs w:val="32"/>
        </w:rPr>
      </w:pPr>
      <w:r w:rsidRPr="00B230B3">
        <w:rPr>
          <w:rFonts w:ascii="Arial" w:eastAsiaTheme="minorHAnsi" w:hAnsi="Arial" w:cs="Arial"/>
          <w:b/>
          <w:bCs/>
          <w:color w:val="800000"/>
          <w:sz w:val="40"/>
          <w:szCs w:val="32"/>
        </w:rPr>
        <w:t>E</w:t>
      </w:r>
      <w:r w:rsidRPr="00393B67">
        <w:rPr>
          <w:rFonts w:ascii="Arial" w:eastAsiaTheme="minorHAnsi" w:hAnsi="Arial" w:cs="Arial"/>
          <w:b/>
          <w:bCs/>
          <w:color w:val="7F7F7F" w:themeColor="text1" w:themeTint="80"/>
          <w:sz w:val="32"/>
          <w:szCs w:val="32"/>
        </w:rPr>
        <w:t xml:space="preserve">:   </w:t>
      </w:r>
      <w:r w:rsidRPr="00DB667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  <w:t>External Balances &amp; Exchange Rates</w:t>
      </w:r>
    </w:p>
    <w:p w14:paraId="25024608" w14:textId="6556AAA7" w:rsidR="001E71AC" w:rsidRPr="00393B67" w:rsidRDefault="001E71AC" w:rsidP="000E2D67">
      <w:pPr>
        <w:widowControl w:val="0"/>
        <w:autoSpaceDE w:val="0"/>
        <w:autoSpaceDN w:val="0"/>
        <w:adjustRightInd w:val="0"/>
        <w:spacing w:after="120"/>
        <w:ind w:firstLine="720"/>
        <w:rPr>
          <w:rFonts w:ascii="Arial" w:eastAsiaTheme="minorHAnsi" w:hAnsi="Arial" w:cs="Arial"/>
          <w:b/>
          <w:bCs/>
          <w:color w:val="7F7F7F" w:themeColor="text1" w:themeTint="80"/>
          <w:sz w:val="32"/>
          <w:szCs w:val="32"/>
        </w:rPr>
      </w:pPr>
      <w:r w:rsidRPr="00B230B3">
        <w:rPr>
          <w:rFonts w:ascii="Arial" w:eastAsiaTheme="minorHAnsi" w:hAnsi="Arial" w:cs="Arial"/>
          <w:b/>
          <w:bCs/>
          <w:color w:val="800000"/>
          <w:sz w:val="40"/>
          <w:szCs w:val="32"/>
        </w:rPr>
        <w:t>S</w:t>
      </w:r>
      <w:r w:rsidRPr="00393B67">
        <w:rPr>
          <w:rFonts w:ascii="Arial" w:eastAsiaTheme="minorHAnsi" w:hAnsi="Arial" w:cs="Arial"/>
          <w:b/>
          <w:bCs/>
          <w:color w:val="7F7F7F" w:themeColor="text1" w:themeTint="80"/>
          <w:sz w:val="32"/>
          <w:szCs w:val="32"/>
        </w:rPr>
        <w:t xml:space="preserve">:   </w:t>
      </w:r>
      <w:r w:rsidRPr="00DB667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  <w:t>Saving</w:t>
      </w:r>
      <w:r w:rsidR="00D456D1" w:rsidRPr="00DB667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  <w:t>s</w:t>
      </w:r>
      <w:r w:rsidRPr="00DB667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  <w:t xml:space="preserve"> </w:t>
      </w:r>
      <w:r w:rsidR="00D456D1" w:rsidRPr="00DB667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  <w:t>&amp;</w:t>
      </w:r>
      <w:r w:rsidRPr="00DB667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2"/>
        </w:rPr>
        <w:t xml:space="preserve"> Investment</w:t>
      </w:r>
    </w:p>
    <w:p w14:paraId="4C551BCD" w14:textId="77777777" w:rsidR="001E71AC" w:rsidRPr="00393B67" w:rsidRDefault="001E71AC" w:rsidP="001E71AC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7F7F7F" w:themeColor="text1" w:themeTint="80"/>
        </w:rPr>
      </w:pPr>
    </w:p>
    <w:p w14:paraId="6A2B4918" w14:textId="77777777" w:rsidR="001E71AC" w:rsidRPr="00DB667D" w:rsidRDefault="001E71AC" w:rsidP="001E71AC">
      <w:pPr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14:paraId="6488452A" w14:textId="5F39A908" w:rsidR="00C91982" w:rsidRPr="009B115E" w:rsidRDefault="001E71AC" w:rsidP="001E71AC">
      <w:pPr>
        <w:rPr>
          <w:rFonts w:ascii="Arial" w:eastAsia="Arial" w:hAnsi="Arial" w:cs="Arial"/>
          <w:color w:val="262626" w:themeColor="text1" w:themeTint="D9"/>
        </w:rPr>
      </w:pPr>
      <w:r w:rsidRPr="009B115E">
        <w:rPr>
          <w:rFonts w:ascii="Arial" w:eastAsia="Arial" w:hAnsi="Arial" w:cs="Arial"/>
          <w:color w:val="262626" w:themeColor="text1" w:themeTint="D9"/>
        </w:rPr>
        <w:t>The purpose of</w:t>
      </w:r>
      <w:r w:rsidR="00D456D1" w:rsidRPr="009B115E">
        <w:rPr>
          <w:rFonts w:ascii="Arial" w:eastAsia="Arial" w:hAnsi="Arial" w:cs="Arial"/>
          <w:color w:val="262626" w:themeColor="text1" w:themeTint="D9"/>
        </w:rPr>
        <w:t xml:space="preserve"> the</w:t>
      </w:r>
      <w:r w:rsidRPr="009B115E">
        <w:rPr>
          <w:rFonts w:ascii="Arial" w:eastAsia="Arial" w:hAnsi="Arial" w:cs="Arial"/>
          <w:color w:val="262626" w:themeColor="text1" w:themeTint="D9"/>
        </w:rPr>
        <w:t xml:space="preserve"> </w:t>
      </w:r>
      <w:r w:rsidRPr="009B115E">
        <w:rPr>
          <w:rFonts w:ascii="Arial" w:eastAsia="Arial" w:hAnsi="Arial" w:cs="Arial"/>
          <w:b/>
          <w:color w:val="262626" w:themeColor="text1" w:themeTint="D9"/>
        </w:rPr>
        <w:t>GUIDES</w:t>
      </w:r>
      <w:r w:rsidRPr="009B115E">
        <w:rPr>
          <w:rFonts w:ascii="Arial" w:eastAsia="Arial" w:hAnsi="Arial" w:cs="Arial"/>
          <w:color w:val="262626" w:themeColor="text1" w:themeTint="D9"/>
        </w:rPr>
        <w:t xml:space="preserve"> </w:t>
      </w:r>
      <w:r w:rsidR="009B115E" w:rsidRPr="009B115E">
        <w:rPr>
          <w:rFonts w:ascii="Arial" w:eastAsia="Arial" w:hAnsi="Arial" w:cs="Arial"/>
          <w:b/>
          <w:color w:val="262626" w:themeColor="text1" w:themeTint="D9"/>
        </w:rPr>
        <w:t>Indicators Worksheet</w:t>
      </w:r>
      <w:r w:rsidR="00D456D1" w:rsidRPr="009B115E">
        <w:rPr>
          <w:rFonts w:ascii="Arial" w:eastAsia="Arial" w:hAnsi="Arial" w:cs="Arial"/>
          <w:color w:val="262626" w:themeColor="text1" w:themeTint="D9"/>
        </w:rPr>
        <w:t xml:space="preserve"> </w:t>
      </w:r>
      <w:r w:rsidRPr="009B115E">
        <w:rPr>
          <w:rFonts w:ascii="Arial" w:eastAsia="Arial" w:hAnsi="Arial" w:cs="Arial"/>
          <w:color w:val="262626" w:themeColor="text1" w:themeTint="D9"/>
        </w:rPr>
        <w:t xml:space="preserve">is to help the business leader </w:t>
      </w:r>
      <w:r w:rsidR="008C35ED" w:rsidRPr="009B115E">
        <w:rPr>
          <w:rFonts w:ascii="Arial" w:eastAsia="Arial" w:hAnsi="Arial" w:cs="Arial"/>
          <w:color w:val="262626" w:themeColor="text1" w:themeTint="D9"/>
        </w:rPr>
        <w:t>collect</w:t>
      </w:r>
      <w:r w:rsidRPr="009B115E">
        <w:rPr>
          <w:rFonts w:ascii="Arial" w:eastAsia="Arial" w:hAnsi="Arial" w:cs="Arial"/>
          <w:color w:val="262626" w:themeColor="text1" w:themeTint="D9"/>
        </w:rPr>
        <w:t xml:space="preserve"> macroeconomic data with confidence and </w:t>
      </w:r>
      <w:r w:rsidR="008C35ED" w:rsidRPr="009B115E">
        <w:rPr>
          <w:rFonts w:ascii="Arial" w:eastAsia="Arial" w:hAnsi="Arial" w:cs="Arial"/>
          <w:color w:val="262626" w:themeColor="text1" w:themeTint="D9"/>
        </w:rPr>
        <w:t>accuracy</w:t>
      </w:r>
      <w:r w:rsidR="00254FFC" w:rsidRPr="009B115E">
        <w:rPr>
          <w:rFonts w:ascii="Arial" w:eastAsia="Arial" w:hAnsi="Arial" w:cs="Arial"/>
          <w:color w:val="262626" w:themeColor="text1" w:themeTint="D9"/>
        </w:rPr>
        <w:t>.</w:t>
      </w:r>
      <w:r w:rsidR="008C35ED" w:rsidRPr="009B115E">
        <w:rPr>
          <w:rFonts w:ascii="Arial" w:eastAsia="Arial" w:hAnsi="Arial" w:cs="Arial"/>
          <w:color w:val="262626" w:themeColor="text1" w:themeTint="D9"/>
        </w:rPr>
        <w:t xml:space="preserve"> </w:t>
      </w:r>
    </w:p>
    <w:p w14:paraId="5AD2465B" w14:textId="77777777" w:rsidR="00C91982" w:rsidRPr="00DB667D" w:rsidRDefault="00C91982" w:rsidP="001E71AC">
      <w:pPr>
        <w:rPr>
          <w:rFonts w:ascii="Arial" w:eastAsia="Arial" w:hAnsi="Arial" w:cs="Arial"/>
          <w:color w:val="262626" w:themeColor="text1" w:themeTint="D9"/>
        </w:rPr>
      </w:pPr>
    </w:p>
    <w:p w14:paraId="2B198167" w14:textId="77777777" w:rsidR="001E71AC" w:rsidRPr="00DB667D" w:rsidRDefault="001E71AC" w:rsidP="001E71AC">
      <w:pPr>
        <w:rPr>
          <w:rFonts w:ascii="Arial" w:eastAsia="Arial" w:hAnsi="Arial" w:cs="Arial"/>
          <w:color w:val="262626" w:themeColor="text1" w:themeTint="D9"/>
          <w:sz w:val="18"/>
          <w:szCs w:val="18"/>
        </w:rPr>
      </w:pPr>
    </w:p>
    <w:p w14:paraId="4965C3DA" w14:textId="77777777" w:rsidR="00DB667D" w:rsidRDefault="00DB667D" w:rsidP="001E71AC">
      <w:pPr>
        <w:rPr>
          <w:rFonts w:ascii="Arial" w:eastAsia="Arial" w:hAnsi="Arial" w:cs="Arial"/>
          <w:color w:val="262626" w:themeColor="text1" w:themeTint="D9"/>
          <w:sz w:val="18"/>
          <w:szCs w:val="18"/>
        </w:rPr>
      </w:pPr>
    </w:p>
    <w:p w14:paraId="0C8627D5" w14:textId="23FC8070" w:rsidR="001E71AC" w:rsidRPr="00DB667D" w:rsidRDefault="00AB1E9C" w:rsidP="000E2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eastAsia="Arial" w:hAnsi="Arial" w:cs="Arial"/>
          <w:color w:val="262626" w:themeColor="text1" w:themeTint="D9"/>
          <w:sz w:val="18"/>
          <w:szCs w:val="18"/>
        </w:rPr>
      </w:pPr>
      <w:r w:rsidRPr="00DB667D">
        <w:rPr>
          <w:rFonts w:ascii="Arial" w:eastAsia="Arial" w:hAnsi="Arial" w:cs="Arial"/>
          <w:color w:val="262626" w:themeColor="text1" w:themeTint="D9"/>
          <w:sz w:val="18"/>
          <w:szCs w:val="18"/>
        </w:rPr>
        <w:t xml:space="preserve">NOTE:  </w:t>
      </w:r>
      <w:r w:rsidR="001E71AC" w:rsidRPr="00DB667D">
        <w:rPr>
          <w:rFonts w:ascii="Arial" w:eastAsia="Arial" w:hAnsi="Arial" w:cs="Arial"/>
          <w:color w:val="262626" w:themeColor="text1" w:themeTint="D9"/>
          <w:sz w:val="18"/>
          <w:szCs w:val="18"/>
        </w:rPr>
        <w:t xml:space="preserve">This </w:t>
      </w:r>
      <w:r w:rsidR="003973B7">
        <w:rPr>
          <w:rFonts w:ascii="Arial" w:eastAsia="Arial" w:hAnsi="Arial" w:cs="Arial"/>
          <w:color w:val="262626" w:themeColor="text1" w:themeTint="D9"/>
          <w:sz w:val="18"/>
          <w:szCs w:val="18"/>
        </w:rPr>
        <w:t>worksheet</w:t>
      </w:r>
      <w:r w:rsidR="001E71AC" w:rsidRPr="00DB667D">
        <w:rPr>
          <w:rFonts w:ascii="Arial" w:eastAsia="Arial" w:hAnsi="Arial" w:cs="Arial"/>
          <w:color w:val="262626" w:themeColor="text1" w:themeTint="D9"/>
          <w:sz w:val="18"/>
          <w:szCs w:val="18"/>
        </w:rPr>
        <w:t xml:space="preserve"> is an adaptation of a macroeconomic analysis framework presented in: </w:t>
      </w:r>
      <w:proofErr w:type="spellStart"/>
      <w:r w:rsidR="001E71AC" w:rsidRPr="00DB667D">
        <w:rPr>
          <w:rFonts w:ascii="Arial" w:eastAsia="Arial" w:hAnsi="Arial" w:cs="Arial"/>
          <w:color w:val="262626" w:themeColor="text1" w:themeTint="D9"/>
          <w:sz w:val="18"/>
          <w:szCs w:val="18"/>
        </w:rPr>
        <w:t>Weinzierl</w:t>
      </w:r>
      <w:proofErr w:type="spellEnd"/>
      <w:r w:rsidR="001E71AC" w:rsidRPr="00DB667D">
        <w:rPr>
          <w:rFonts w:ascii="Arial" w:eastAsia="Arial" w:hAnsi="Arial" w:cs="Arial"/>
          <w:color w:val="262626" w:themeColor="text1" w:themeTint="D9"/>
          <w:sz w:val="18"/>
          <w:szCs w:val="18"/>
        </w:rPr>
        <w:t xml:space="preserve">, Matthew, </w:t>
      </w:r>
      <w:proofErr w:type="spellStart"/>
      <w:r w:rsidR="001E71AC" w:rsidRPr="00DB667D">
        <w:rPr>
          <w:rFonts w:ascii="Arial" w:eastAsia="Arial" w:hAnsi="Arial" w:cs="Arial"/>
          <w:color w:val="262626" w:themeColor="text1" w:themeTint="D9"/>
          <w:sz w:val="18"/>
          <w:szCs w:val="18"/>
        </w:rPr>
        <w:t>Shlefer</w:t>
      </w:r>
      <w:proofErr w:type="spellEnd"/>
      <w:r w:rsidR="001E71AC" w:rsidRPr="00DB667D">
        <w:rPr>
          <w:rFonts w:ascii="Arial" w:eastAsia="Arial" w:hAnsi="Arial" w:cs="Arial"/>
          <w:color w:val="262626" w:themeColor="text1" w:themeTint="D9"/>
          <w:sz w:val="18"/>
          <w:szCs w:val="18"/>
        </w:rPr>
        <w:t>, Jonathan, and Cullen, Ann. “GUIDES: Insight through indicators.” Harvard Business School 9-710-044. December 19, 2011 (2011): 1-9</w:t>
      </w:r>
      <w:r w:rsidRPr="00DB667D">
        <w:rPr>
          <w:rFonts w:ascii="Arial" w:eastAsia="Arial" w:hAnsi="Arial" w:cs="Arial"/>
          <w:color w:val="262626" w:themeColor="text1" w:themeTint="D9"/>
          <w:sz w:val="18"/>
          <w:szCs w:val="18"/>
        </w:rPr>
        <w:t xml:space="preserve"> </w:t>
      </w:r>
    </w:p>
    <w:p w14:paraId="2106789E" w14:textId="77777777" w:rsidR="001E71AC" w:rsidRPr="00393B67" w:rsidRDefault="001E71AC" w:rsidP="001E71AC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7F7F7F" w:themeColor="text1" w:themeTint="80"/>
        </w:rPr>
      </w:pPr>
    </w:p>
    <w:p w14:paraId="08DA5028" w14:textId="2DE78D8A" w:rsidR="00262A17" w:rsidRDefault="00262A17">
      <w:pPr>
        <w:spacing w:after="200"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272DACBE" w14:textId="1E48C50D" w:rsidR="00CC737B" w:rsidRDefault="00CC737B">
      <w:pPr>
        <w:spacing w:after="200"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68BC36E6" w14:textId="1792F1B8" w:rsidR="00CC737B" w:rsidRDefault="00CC737B">
      <w:pPr>
        <w:spacing w:after="200"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7B4FE35A" w14:textId="42D1E6C9" w:rsidR="00CC737B" w:rsidRDefault="00CC737B">
      <w:pPr>
        <w:spacing w:after="200"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098F86DD" w14:textId="62357798" w:rsidR="00CC737B" w:rsidRDefault="00CC737B">
      <w:pPr>
        <w:spacing w:after="200"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3839DB9C" w14:textId="1EAABDE6" w:rsidR="00CC737B" w:rsidRDefault="00CC737B">
      <w:pPr>
        <w:spacing w:after="200"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34C44283" w14:textId="4076FE4A" w:rsidR="00CC737B" w:rsidRPr="00CA1AC7" w:rsidRDefault="00CC737B" w:rsidP="00CC737B">
      <w:pPr>
        <w:pStyle w:val="TitleOfPaperCover"/>
        <w:rPr>
          <w:sz w:val="36"/>
          <w:szCs w:val="36"/>
        </w:rPr>
      </w:pPr>
      <w:r w:rsidRPr="00CA1AC7">
        <w:rPr>
          <w:sz w:val="36"/>
          <w:szCs w:val="36"/>
        </w:rPr>
        <w:t>“</w:t>
      </w:r>
      <w:r>
        <w:rPr>
          <w:sz w:val="36"/>
          <w:szCs w:val="36"/>
        </w:rPr>
        <w:t>GUIDES Worksheet</w:t>
      </w:r>
      <w:r w:rsidRPr="00CA1AC7">
        <w:rPr>
          <w:sz w:val="36"/>
          <w:szCs w:val="36"/>
        </w:rPr>
        <w:t>”</w:t>
      </w:r>
    </w:p>
    <w:p w14:paraId="6838762D" w14:textId="77777777" w:rsidR="00CC737B" w:rsidRPr="00CA1AC7" w:rsidRDefault="00CC737B" w:rsidP="00CC737B">
      <w:pPr>
        <w:pStyle w:val="AuthorInfo"/>
      </w:pPr>
      <w:r w:rsidRPr="00CA1AC7">
        <w:t xml:space="preserve">Student Name: Hady J </w:t>
      </w:r>
      <w:proofErr w:type="spellStart"/>
      <w:r w:rsidRPr="00CA1AC7">
        <w:t>AlShayeb</w:t>
      </w:r>
      <w:proofErr w:type="spellEnd"/>
    </w:p>
    <w:p w14:paraId="591A8D57" w14:textId="77777777" w:rsidR="00CC737B" w:rsidRPr="00CA1AC7" w:rsidRDefault="00CC737B" w:rsidP="00CC737B">
      <w:pPr>
        <w:pStyle w:val="AuthorInfo"/>
      </w:pPr>
      <w:r w:rsidRPr="00CA1AC7">
        <w:t>Jack Welch Management Institute</w:t>
      </w:r>
    </w:p>
    <w:p w14:paraId="6AAD1925" w14:textId="57149041" w:rsidR="00CC737B" w:rsidRPr="00CA1AC7" w:rsidRDefault="00CC737B" w:rsidP="00CC737B">
      <w:pPr>
        <w:pStyle w:val="Heading3"/>
        <w:ind w:right="45"/>
        <w:jc w:val="center"/>
        <w:rPr>
          <w:i w:val="0"/>
          <w:szCs w:val="24"/>
        </w:rPr>
      </w:pPr>
      <w:r w:rsidRPr="00CA1AC7">
        <w:rPr>
          <w:i w:val="0"/>
          <w:szCs w:val="24"/>
        </w:rPr>
        <w:t xml:space="preserve">Professor Name: </w:t>
      </w:r>
      <w:r>
        <w:rPr>
          <w:i w:val="0"/>
          <w:szCs w:val="24"/>
        </w:rPr>
        <w:t xml:space="preserve">Paul </w:t>
      </w:r>
      <w:proofErr w:type="spellStart"/>
      <w:r>
        <w:rPr>
          <w:i w:val="0"/>
          <w:szCs w:val="24"/>
        </w:rPr>
        <w:t>Serluco</w:t>
      </w:r>
      <w:proofErr w:type="spellEnd"/>
    </w:p>
    <w:p w14:paraId="0DAA98C8" w14:textId="0184BB44" w:rsidR="00CC737B" w:rsidRPr="00CA1AC7" w:rsidRDefault="00CC737B" w:rsidP="00CC737B">
      <w:pPr>
        <w:pStyle w:val="AuthorInfo"/>
      </w:pPr>
      <w:r w:rsidRPr="00CA1AC7">
        <w:t>JWI 51</w:t>
      </w:r>
      <w:r>
        <w:t>5</w:t>
      </w:r>
      <w:r w:rsidRPr="00CA1AC7">
        <w:t xml:space="preserve">:  </w:t>
      </w:r>
      <w:r>
        <w:t>Managerial Economics</w:t>
      </w:r>
    </w:p>
    <w:p w14:paraId="1743EC4F" w14:textId="45343C95" w:rsidR="00CC737B" w:rsidRDefault="00CC737B" w:rsidP="00CC737B">
      <w:pPr>
        <w:spacing w:after="200" w:line="276" w:lineRule="auto"/>
        <w:jc w:val="center"/>
        <w:rPr>
          <w:rFonts w:ascii="Arial" w:hAnsi="Arial" w:cs="Arial"/>
          <w:color w:val="262626" w:themeColor="text1" w:themeTint="D9"/>
          <w:sz w:val="22"/>
          <w:szCs w:val="22"/>
        </w:rPr>
      </w:pPr>
      <w:r>
        <w:t>15</w:t>
      </w:r>
      <w:r w:rsidRPr="00CC737B">
        <w:rPr>
          <w:vertAlign w:val="superscript"/>
        </w:rPr>
        <w:t>th</w:t>
      </w:r>
      <w:r>
        <w:t xml:space="preserve"> of January 2023</w:t>
      </w:r>
    </w:p>
    <w:p w14:paraId="18B5F3BC" w14:textId="17542175" w:rsidR="00CC737B" w:rsidRDefault="00CC737B">
      <w:pPr>
        <w:spacing w:after="200"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119434C9" w14:textId="7DB9CE18" w:rsidR="00CC737B" w:rsidRDefault="00CC737B">
      <w:pPr>
        <w:spacing w:after="200"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5C246F12" w14:textId="7CC5E538" w:rsidR="00CC737B" w:rsidRDefault="00CC737B">
      <w:pPr>
        <w:spacing w:after="200"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4EF793D2" w14:textId="0AEED082" w:rsidR="00CC737B" w:rsidRDefault="00CC737B">
      <w:pPr>
        <w:spacing w:after="200"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06C1D050" w14:textId="546152AC" w:rsidR="00CC737B" w:rsidRDefault="00CC737B">
      <w:pPr>
        <w:spacing w:after="200"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14C947F5" w14:textId="4F2FCA98" w:rsidR="00B230B3" w:rsidRPr="00B230B3" w:rsidRDefault="00B230B3" w:rsidP="00563580">
      <w:pPr>
        <w:spacing w:after="200" w:line="276" w:lineRule="auto"/>
        <w:rPr>
          <w:rFonts w:ascii="Arial" w:eastAsiaTheme="minorHAnsi" w:hAnsi="Arial" w:cs="Arial"/>
          <w:b/>
          <w:bCs/>
          <w:color w:val="800000"/>
          <w:sz w:val="2"/>
          <w:szCs w:val="40"/>
          <w:bdr w:val="single" w:sz="4" w:space="0" w:color="auto"/>
        </w:rPr>
      </w:pPr>
    </w:p>
    <w:p w14:paraId="23E614FD" w14:textId="686B9D55" w:rsidR="004D0FD9" w:rsidRPr="0031030B" w:rsidRDefault="00B22313" w:rsidP="00563580">
      <w:pPr>
        <w:widowControl w:val="0"/>
        <w:autoSpaceDE w:val="0"/>
        <w:autoSpaceDN w:val="0"/>
        <w:adjustRightInd w:val="0"/>
        <w:spacing w:before="120" w:after="240"/>
        <w:rPr>
          <w:rStyle w:val="Hyperlink"/>
          <w:rFonts w:ascii="Arial" w:eastAsiaTheme="minorHAnsi" w:hAnsi="Arial" w:cs="Arial"/>
          <w:b/>
          <w:color w:val="7F7F7F" w:themeColor="text1" w:themeTint="80"/>
          <w:sz w:val="20"/>
          <w:szCs w:val="22"/>
        </w:rPr>
      </w:pPr>
      <w:r w:rsidRPr="0031030B">
        <w:rPr>
          <w:rFonts w:ascii="Arial" w:eastAsiaTheme="minorHAnsi" w:hAnsi="Arial" w:cs="Arial"/>
          <w:b/>
          <w:bCs/>
          <w:color w:val="800000"/>
          <w:sz w:val="56"/>
          <w:szCs w:val="40"/>
          <w:bdr w:val="single" w:sz="4" w:space="0" w:color="auto"/>
          <w:shd w:val="clear" w:color="auto" w:fill="F2F2F2" w:themeFill="background1" w:themeFillShade="F2"/>
        </w:rPr>
        <w:lastRenderedPageBreak/>
        <w:t>G</w:t>
      </w:r>
      <w:r w:rsidR="00393B67" w:rsidRPr="0031030B">
        <w:rPr>
          <w:rFonts w:ascii="Arial" w:eastAsiaTheme="minorHAnsi" w:hAnsi="Arial" w:cs="Arial"/>
          <w:b/>
          <w:bCs/>
          <w:color w:val="7F7F7F" w:themeColor="text1" w:themeTint="80"/>
          <w:sz w:val="36"/>
          <w:szCs w:val="40"/>
        </w:rPr>
        <w:t xml:space="preserve"> </w:t>
      </w:r>
      <w:r w:rsidR="00B230B3" w:rsidRPr="0031030B">
        <w:rPr>
          <w:rFonts w:ascii="Arial" w:eastAsiaTheme="minorHAnsi" w:hAnsi="Arial" w:cs="Arial"/>
          <w:b/>
          <w:bCs/>
          <w:color w:val="7F7F7F" w:themeColor="text1" w:themeTint="80"/>
          <w:sz w:val="36"/>
          <w:szCs w:val="40"/>
        </w:rPr>
        <w:t xml:space="preserve">= </w:t>
      </w:r>
      <w:r w:rsidRPr="0031030B"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  <w:t xml:space="preserve">GDP </w:t>
      </w:r>
      <w:r w:rsidR="00EF4F4B"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  <w:t>&amp;</w:t>
      </w:r>
      <w:r w:rsidRPr="0031030B"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  <w:t xml:space="preserve"> Growth</w:t>
      </w:r>
      <w:r w:rsidRPr="0031030B">
        <w:rPr>
          <w:rFonts w:ascii="Arial" w:eastAsiaTheme="minorHAnsi" w:hAnsi="Arial" w:cs="Arial"/>
          <w:b/>
          <w:bCs/>
          <w:color w:val="262626" w:themeColor="text1" w:themeTint="D9"/>
          <w:sz w:val="40"/>
          <w:szCs w:val="44"/>
        </w:rPr>
        <w:tab/>
      </w:r>
      <w:r w:rsidRPr="0031030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Pr="0031030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31030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31030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31030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Pr="0031030B">
        <w:rPr>
          <w:rFonts w:ascii="Arial" w:eastAsiaTheme="minorHAnsi" w:hAnsi="Arial" w:cs="Arial"/>
          <w:b/>
          <w:color w:val="262626" w:themeColor="text1" w:themeTint="D9"/>
          <w:sz w:val="20"/>
          <w:szCs w:val="22"/>
        </w:rPr>
        <w:t xml:space="preserve">Click here to access the </w:t>
      </w:r>
      <w:hyperlink r:id="rId8" w:tooltip="tradingeconomics.com" w:history="1">
        <w:r w:rsidRPr="0031030B">
          <w:rPr>
            <w:rStyle w:val="Hyperlink"/>
            <w:rFonts w:ascii="Arial" w:eastAsiaTheme="minorHAnsi" w:hAnsi="Arial" w:cs="Arial"/>
            <w:b/>
            <w:color w:val="262626" w:themeColor="text1" w:themeTint="D9"/>
            <w:sz w:val="20"/>
            <w:szCs w:val="22"/>
          </w:rPr>
          <w:t>Trading Economics website</w:t>
        </w:r>
      </w:hyperlink>
    </w:p>
    <w:tbl>
      <w:tblPr>
        <w:tblStyle w:val="TableGrid"/>
        <w:tblW w:w="13745" w:type="dxa"/>
        <w:jc w:val="center"/>
        <w:tblLayout w:type="fixed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353"/>
        <w:gridCol w:w="2925"/>
        <w:gridCol w:w="1660"/>
        <w:gridCol w:w="1653"/>
        <w:gridCol w:w="1484"/>
        <w:gridCol w:w="1530"/>
        <w:gridCol w:w="1620"/>
        <w:gridCol w:w="1520"/>
      </w:tblGrid>
      <w:tr w:rsidR="008D5482" w:rsidRPr="00393B67" w14:paraId="760A365D" w14:textId="77777777" w:rsidTr="0063066C">
        <w:trPr>
          <w:cantSplit/>
          <w:trHeight w:val="240"/>
          <w:jc w:val="center"/>
        </w:trPr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083F0D65" w14:textId="77777777" w:rsidR="008D5482" w:rsidRPr="00AF42A4" w:rsidRDefault="008D5482" w:rsidP="00B2231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AF42A4"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  <w:t>Indicator</w:t>
            </w:r>
          </w:p>
        </w:tc>
        <w:tc>
          <w:tcPr>
            <w:tcW w:w="2925" w:type="dxa"/>
            <w:vMerge w:val="restart"/>
            <w:tcBorders>
              <w:top w:val="single" w:sz="12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75F18533" w14:textId="77777777" w:rsidR="008D5482" w:rsidRPr="00AF42A4" w:rsidRDefault="008D5482" w:rsidP="00B2231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AF42A4"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  <w:t>Meaning</w:t>
            </w:r>
          </w:p>
        </w:tc>
        <w:tc>
          <w:tcPr>
            <w:tcW w:w="4797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86A176" w14:textId="6AAFFBEB" w:rsidR="008D5482" w:rsidRPr="00C91982" w:rsidRDefault="008D5482" w:rsidP="00B2231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</w:rPr>
            </w:pPr>
            <w:r w:rsidRPr="00C91982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Country: </w:t>
            </w:r>
            <w:r w:rsidR="00FE6309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 Saudi Arabia</w:t>
            </w:r>
          </w:p>
        </w:tc>
        <w:tc>
          <w:tcPr>
            <w:tcW w:w="467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867383" w14:textId="0004279E" w:rsidR="008D5482" w:rsidRPr="00C91982" w:rsidRDefault="008D5482" w:rsidP="00B2231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</w:rPr>
            </w:pPr>
            <w:r w:rsidRPr="00C91982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Country: </w:t>
            </w:r>
            <w:r w:rsidR="00FE6309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Turkey </w:t>
            </w:r>
          </w:p>
        </w:tc>
      </w:tr>
      <w:tr w:rsidR="009146E5" w:rsidRPr="00393B67" w14:paraId="42170C3D" w14:textId="77777777" w:rsidTr="0063066C">
        <w:trPr>
          <w:cantSplit/>
          <w:trHeight w:val="696"/>
          <w:jc w:val="center"/>
        </w:trPr>
        <w:tc>
          <w:tcPr>
            <w:tcW w:w="1353" w:type="dxa"/>
            <w:vMerge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55A79F71" w14:textId="77777777" w:rsidR="009146E5" w:rsidRPr="00AF42A4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925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1A9C8706" w14:textId="77777777" w:rsidR="009146E5" w:rsidRPr="00AF42A4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60" w:type="dxa"/>
            <w:vAlign w:val="center"/>
          </w:tcPr>
          <w:p w14:paraId="4D300860" w14:textId="5B5ADD70" w:rsidR="009146E5" w:rsidRPr="006334F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-662" w:firstLine="662"/>
              <w:contextualSpacing w:val="0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Latest Entry &amp;</w:t>
            </w:r>
          </w:p>
          <w:p w14:paraId="2140D400" w14:textId="46BE3041" w:rsidR="009146E5" w:rsidRPr="006334F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Frequency</w:t>
            </w:r>
          </w:p>
        </w:tc>
        <w:tc>
          <w:tcPr>
            <w:tcW w:w="1653" w:type="dxa"/>
            <w:vAlign w:val="center"/>
          </w:tcPr>
          <w:p w14:paraId="4F11B9E0" w14:textId="654468C3" w:rsidR="009146E5" w:rsidRPr="006334F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Trend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– with </w:t>
            </w:r>
            <w:r w:rsidR="00354548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an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explanation</w:t>
            </w:r>
          </w:p>
        </w:tc>
        <w:tc>
          <w:tcPr>
            <w:tcW w:w="1484" w:type="dxa"/>
            <w:vAlign w:val="center"/>
          </w:tcPr>
          <w:p w14:paraId="7614A7DB" w14:textId="252BBD3B" w:rsidR="009146E5" w:rsidRPr="006334F5" w:rsidRDefault="009C4E79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Healthy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Trend </w:t>
            </w: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(Y/N)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&amp; </w:t>
            </w:r>
            <w:proofErr w:type="gramStart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Why</w:t>
            </w:r>
            <w:proofErr w:type="gramEnd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?   </w:t>
            </w:r>
          </w:p>
        </w:tc>
        <w:tc>
          <w:tcPr>
            <w:tcW w:w="1530" w:type="dxa"/>
            <w:vAlign w:val="center"/>
          </w:tcPr>
          <w:p w14:paraId="1DA3266D" w14:textId="77777777" w:rsidR="009146E5" w:rsidRPr="006334F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-662" w:firstLine="662"/>
              <w:contextualSpacing w:val="0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Latest Entry &amp;</w:t>
            </w:r>
          </w:p>
          <w:p w14:paraId="11786277" w14:textId="1705E40A" w:rsidR="009146E5" w:rsidRPr="006334F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Frequency</w:t>
            </w:r>
          </w:p>
        </w:tc>
        <w:tc>
          <w:tcPr>
            <w:tcW w:w="1620" w:type="dxa"/>
            <w:vAlign w:val="center"/>
          </w:tcPr>
          <w:p w14:paraId="526623E7" w14:textId="4A4772A2" w:rsidR="009146E5" w:rsidRPr="006334F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Trend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– with</w:t>
            </w:r>
            <w:r w:rsidR="00354548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an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explanation</w:t>
            </w:r>
          </w:p>
        </w:tc>
        <w:tc>
          <w:tcPr>
            <w:tcW w:w="1520" w:type="dxa"/>
            <w:tcBorders>
              <w:right w:val="single" w:sz="12" w:space="0" w:color="auto"/>
            </w:tcBorders>
            <w:vAlign w:val="center"/>
          </w:tcPr>
          <w:p w14:paraId="337C495C" w14:textId="268987D4" w:rsidR="009146E5" w:rsidRPr="006334F5" w:rsidRDefault="009C4E79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Healthy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Trend </w:t>
            </w: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(Y/N)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&amp; </w:t>
            </w:r>
            <w:proofErr w:type="gramStart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Why</w:t>
            </w:r>
            <w:proofErr w:type="gramEnd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?   </w:t>
            </w:r>
          </w:p>
        </w:tc>
      </w:tr>
      <w:tr w:rsidR="006F1E42" w:rsidRPr="00393B67" w14:paraId="2E9D9A64" w14:textId="77777777" w:rsidTr="0063066C">
        <w:trPr>
          <w:cantSplit/>
          <w:trHeight w:val="1008"/>
          <w:jc w:val="center"/>
        </w:trPr>
        <w:tc>
          <w:tcPr>
            <w:tcW w:w="1353" w:type="dxa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00D47C75" w14:textId="32152A19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</w:rPr>
              <w:t>GDP</w:t>
            </w:r>
            <w:r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29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72B752EB" w14:textId="5DA82C63" w:rsidR="006F1E42" w:rsidRPr="00D21FD4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16"/>
                <w:szCs w:val="16"/>
              </w:rPr>
            </w:pPr>
            <w:r w:rsidRPr="00867CF4">
              <w:rPr>
                <w:rFonts w:ascii="Arial" w:eastAsiaTheme="minorHAnsi" w:hAnsi="Arial" w:cs="Arial"/>
                <w:bCs/>
                <w:color w:val="FFFFFF" w:themeColor="background1"/>
                <w:sz w:val="18"/>
                <w:szCs w:val="18"/>
              </w:rPr>
              <w:t>Measures national income and output. GDP is equal to the total expenditure for all final goods and services produced within the country.</w:t>
            </w:r>
          </w:p>
        </w:tc>
        <w:tc>
          <w:tcPr>
            <w:tcW w:w="1660" w:type="dxa"/>
            <w:tcMar>
              <w:left w:w="144" w:type="dxa"/>
              <w:right w:w="144" w:type="dxa"/>
            </w:tcMar>
            <w:vAlign w:val="center"/>
          </w:tcPr>
          <w:p w14:paraId="541FBBB7" w14:textId="77777777" w:rsidR="006F1E42" w:rsidRDefault="00645BCE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833.5 billion USD</w:t>
            </w:r>
          </w:p>
          <w:p w14:paraId="374DCF86" w14:textId="64F8B99E" w:rsidR="00645BCE" w:rsidRPr="006334F5" w:rsidRDefault="00645BCE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(2021)</w:t>
            </w:r>
          </w:p>
        </w:tc>
        <w:tc>
          <w:tcPr>
            <w:tcW w:w="1653" w:type="dxa"/>
            <w:tcMar>
              <w:left w:w="144" w:type="dxa"/>
              <w:right w:w="144" w:type="dxa"/>
            </w:tcMar>
            <w:vAlign w:val="center"/>
          </w:tcPr>
          <w:p w14:paraId="3F1F2544" w14:textId="04E9490C" w:rsidR="006F1E42" w:rsidRPr="006334F5" w:rsidRDefault="00E553E4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There was an annual increase of 3.2% in GDP which reached 833.5 billion.</w:t>
            </w:r>
          </w:p>
        </w:tc>
        <w:tc>
          <w:tcPr>
            <w:tcW w:w="1484" w:type="dxa"/>
            <w:tcMar>
              <w:left w:w="144" w:type="dxa"/>
              <w:right w:w="144" w:type="dxa"/>
            </w:tcMar>
            <w:vAlign w:val="center"/>
          </w:tcPr>
          <w:p w14:paraId="58B0D13C" w14:textId="2CF910D1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 w:rsidR="002822A1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- because GDP is the measure of the size of an economy and the increasing GDP means that the economy of the country is flourishing.</w:t>
            </w:r>
          </w:p>
          <w:p w14:paraId="657F7556" w14:textId="0F1C3563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Mar>
              <w:left w:w="144" w:type="dxa"/>
              <w:right w:w="144" w:type="dxa"/>
            </w:tcMar>
            <w:vAlign w:val="center"/>
          </w:tcPr>
          <w:p w14:paraId="014B6C4A" w14:textId="77777777" w:rsidR="006F1E42" w:rsidRDefault="00032CD4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815.3 billion USD</w:t>
            </w:r>
          </w:p>
          <w:p w14:paraId="65C53FBA" w14:textId="735CBAA1" w:rsidR="00032CD4" w:rsidRPr="006334F5" w:rsidRDefault="00032CD4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(2021)</w:t>
            </w:r>
          </w:p>
        </w:tc>
        <w:tc>
          <w:tcPr>
            <w:tcW w:w="1620" w:type="dxa"/>
            <w:tcMar>
              <w:left w:w="144" w:type="dxa"/>
              <w:right w:w="144" w:type="dxa"/>
            </w:tcMar>
            <w:vAlign w:val="center"/>
          </w:tcPr>
          <w:p w14:paraId="5B2ABA74" w14:textId="0D6C25B9" w:rsidR="006F1E42" w:rsidRPr="006334F5" w:rsidRDefault="004240B1" w:rsidP="004240B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There was an annual increase of 11.0% in GDP which reached 720 billion USD to 815.3 billion.</w:t>
            </w:r>
          </w:p>
        </w:tc>
        <w:tc>
          <w:tcPr>
            <w:tcW w:w="1520" w:type="dxa"/>
            <w:tcBorders>
              <w:right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32B7CA1D" w14:textId="77777777" w:rsidR="002822A1" w:rsidRPr="006334F5" w:rsidRDefault="002822A1" w:rsidP="002822A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- because GDP is the measure of the size of an economy and the increasing GDP means that the economy of the country is flourishing.</w:t>
            </w:r>
          </w:p>
          <w:p w14:paraId="6948F2F5" w14:textId="4838D05C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6F1E42" w:rsidRPr="00393B67" w14:paraId="51FB405C" w14:textId="77777777" w:rsidTr="0063066C">
        <w:trPr>
          <w:cantSplit/>
          <w:trHeight w:val="1123"/>
          <w:jc w:val="center"/>
        </w:trPr>
        <w:tc>
          <w:tcPr>
            <w:tcW w:w="1353" w:type="dxa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3E13A812" w14:textId="473FCCEA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</w:rPr>
              <w:t>GDP  Constant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Prices</w:t>
            </w:r>
          </w:p>
        </w:tc>
        <w:tc>
          <w:tcPr>
            <w:tcW w:w="2925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13238B9D" w14:textId="344E661C" w:rsidR="00867CF4" w:rsidRPr="00867CF4" w:rsidRDefault="006F1E42" w:rsidP="00867CF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16"/>
                <w:szCs w:val="16"/>
              </w:rPr>
            </w:pPr>
            <w:r w:rsidRPr="00867CF4">
              <w:rPr>
                <w:rFonts w:ascii="Arial" w:eastAsiaTheme="minorHAnsi" w:hAnsi="Arial" w:cs="Arial"/>
                <w:bCs/>
                <w:color w:val="FFFFFF" w:themeColor="background1"/>
                <w:sz w:val="18"/>
                <w:szCs w:val="18"/>
              </w:rPr>
              <w:t>GDP adjusted for inflation. Measures the GDP value in base year dollars.</w:t>
            </w:r>
          </w:p>
        </w:tc>
        <w:tc>
          <w:tcPr>
            <w:tcW w:w="1660" w:type="dxa"/>
            <w:tcMar>
              <w:left w:w="144" w:type="dxa"/>
              <w:right w:w="144" w:type="dxa"/>
            </w:tcMar>
            <w:vAlign w:val="center"/>
          </w:tcPr>
          <w:p w14:paraId="62A455C1" w14:textId="77777777" w:rsidR="000127B6" w:rsidRPr="000127B6" w:rsidRDefault="000127B6" w:rsidP="000127B6">
            <w:pPr>
              <w:rPr>
                <w:rFonts w:ascii="Arial" w:eastAsiaTheme="minorHAnsi" w:hAnsi="Arial" w:cs="Arial"/>
                <w:sz w:val="18"/>
              </w:rPr>
            </w:pPr>
            <w:r w:rsidRPr="000127B6">
              <w:rPr>
                <w:rFonts w:ascii="Arial" w:hAnsi="Arial" w:cs="Arial"/>
                <w:sz w:val="18"/>
              </w:rPr>
              <w:t>723609.00</w:t>
            </w:r>
          </w:p>
          <w:p w14:paraId="1A5F1D69" w14:textId="557AAD3F" w:rsidR="000127B6" w:rsidRDefault="000127B6" w:rsidP="000127B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color w:val="202124"/>
                <w:sz w:val="18"/>
                <w:shd w:val="clear" w:color="auto" w:fill="FFFFFF"/>
              </w:rPr>
            </w:pPr>
            <w:r w:rsidRPr="000127B6">
              <w:rPr>
                <w:rFonts w:ascii="Arial" w:eastAsiaTheme="minorHAnsi" w:hAnsi="Arial" w:cs="Arial"/>
                <w:sz w:val="18"/>
              </w:rPr>
              <w:t>SAR MILLION</w:t>
            </w:r>
          </w:p>
          <w:p w14:paraId="55AFCE0A" w14:textId="66407CF9" w:rsidR="006F1E42" w:rsidRPr="00022AB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53" w:type="dxa"/>
            <w:tcMar>
              <w:left w:w="144" w:type="dxa"/>
              <w:right w:w="144" w:type="dxa"/>
            </w:tcMar>
            <w:vAlign w:val="center"/>
          </w:tcPr>
          <w:p w14:paraId="7C5CC334" w14:textId="06C3DC83" w:rsidR="000127B6" w:rsidRDefault="000127B6" w:rsidP="000127B6">
            <w:r w:rsidRPr="000127B6">
              <w:rPr>
                <w:rFonts w:ascii="Arial" w:hAnsi="Arial" w:cs="Arial"/>
                <w:bCs/>
                <w:color w:val="202124"/>
                <w:sz w:val="18"/>
                <w:shd w:val="clear" w:color="auto" w:fill="FFFFFF"/>
              </w:rPr>
              <w:t xml:space="preserve">Saudi Arabia's GDP Constant Prices </w:t>
            </w:r>
            <w:r w:rsidR="001B12E9">
              <w:rPr>
                <w:rFonts w:ascii="Arial" w:hAnsi="Arial" w:cs="Arial"/>
                <w:bCs/>
                <w:color w:val="202124"/>
                <w:sz w:val="18"/>
                <w:shd w:val="clear" w:color="auto" w:fill="FFFFFF"/>
              </w:rPr>
              <w:t>rose</w:t>
            </w:r>
            <w:r w:rsidRPr="000127B6">
              <w:rPr>
                <w:rFonts w:ascii="Arial" w:hAnsi="Arial" w:cs="Arial"/>
                <w:bCs/>
                <w:color w:val="202124"/>
                <w:sz w:val="18"/>
                <w:shd w:val="clear" w:color="auto" w:fill="FFFFFF"/>
              </w:rPr>
              <w:t xml:space="preserve"> from 683086 S</w:t>
            </w:r>
            <w:r w:rsidR="001B12E9">
              <w:rPr>
                <w:rFonts w:ascii="Arial" w:hAnsi="Arial" w:cs="Arial"/>
                <w:bCs/>
                <w:color w:val="202124"/>
                <w:sz w:val="18"/>
                <w:shd w:val="clear" w:color="auto" w:fill="FFFFFF"/>
              </w:rPr>
              <w:t>AR Million in 2q</w:t>
            </w:r>
            <w:r w:rsidRPr="000127B6">
              <w:rPr>
                <w:rFonts w:ascii="Arial" w:hAnsi="Arial" w:cs="Arial"/>
                <w:bCs/>
                <w:color w:val="202124"/>
                <w:sz w:val="18"/>
                <w:shd w:val="clear" w:color="auto" w:fill="FFFFFF"/>
              </w:rPr>
              <w:t xml:space="preserve"> of 2022 to 723609 SAR Million in</w:t>
            </w:r>
            <w:r w:rsidR="001B12E9">
              <w:rPr>
                <w:rFonts w:ascii="Arial" w:hAnsi="Arial" w:cs="Arial"/>
                <w:bCs/>
                <w:color w:val="202124"/>
                <w:sz w:val="18"/>
                <w:shd w:val="clear" w:color="auto" w:fill="FFFFFF"/>
              </w:rPr>
              <w:t xml:space="preserve"> 3q</w:t>
            </w:r>
            <w:r w:rsidRPr="000127B6">
              <w:rPr>
                <w:rFonts w:ascii="Arial" w:hAnsi="Arial" w:cs="Arial"/>
                <w:bCs/>
                <w:color w:val="202124"/>
                <w:sz w:val="18"/>
                <w:shd w:val="clear" w:color="auto" w:fill="FFFFFF"/>
              </w:rPr>
              <w:t>.</w:t>
            </w:r>
          </w:p>
          <w:p w14:paraId="548044D3" w14:textId="5BECF930" w:rsidR="006F1E42" w:rsidRPr="000127B6" w:rsidRDefault="006F1E42" w:rsidP="000127B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484" w:type="dxa"/>
            <w:tcMar>
              <w:left w:w="144" w:type="dxa"/>
              <w:right w:w="144" w:type="dxa"/>
            </w:tcMar>
            <w:vAlign w:val="center"/>
          </w:tcPr>
          <w:p w14:paraId="05EF06AC" w14:textId="60A3941D" w:rsidR="006F1E42" w:rsidRPr="006334F5" w:rsidRDefault="000127B6" w:rsidP="006F1E42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Yes- it is a healthy trend since GDP constant prices are rising, which is an indication that the economy is doing well. </w:t>
            </w:r>
          </w:p>
          <w:p w14:paraId="57DD41C5" w14:textId="6B7B5F68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Mar>
              <w:left w:w="144" w:type="dxa"/>
              <w:right w:w="144" w:type="dxa"/>
            </w:tcMar>
            <w:vAlign w:val="center"/>
          </w:tcPr>
          <w:p w14:paraId="5E310AB7" w14:textId="10DCBC67" w:rsidR="006F1E42" w:rsidRPr="000127B6" w:rsidRDefault="000127B6" w:rsidP="000127B6">
            <w:pPr>
              <w:rPr>
                <w:rFonts w:ascii="Arial" w:hAnsi="Arial" w:cs="Arial"/>
              </w:rPr>
            </w:pPr>
            <w:r>
              <w:br/>
            </w:r>
            <w:r w:rsidRPr="000127B6">
              <w:rPr>
                <w:rFonts w:ascii="Arial" w:hAnsi="Arial" w:cs="Arial"/>
                <w:sz w:val="18"/>
              </w:rPr>
              <w:t>561000276.10 TRY THO (2022)</w:t>
            </w:r>
          </w:p>
        </w:tc>
        <w:tc>
          <w:tcPr>
            <w:tcW w:w="1620" w:type="dxa"/>
            <w:tcMar>
              <w:left w:w="144" w:type="dxa"/>
              <w:right w:w="144" w:type="dxa"/>
            </w:tcMar>
            <w:vAlign w:val="center"/>
          </w:tcPr>
          <w:p w14:paraId="1A74FAC1" w14:textId="40ECFA6E" w:rsidR="006F1E42" w:rsidRPr="006334F5" w:rsidRDefault="000127B6" w:rsidP="0087034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0127B6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Turkey's GDP Constant Prices grew</w:t>
            </w:r>
            <w:r w:rsidR="0087034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in the 2020’s second quarter</w:t>
            </w:r>
            <w:r w:rsidRPr="000127B6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from 507223844.30 TRY THO to </w:t>
            </w:r>
            <w:r w:rsidR="0087034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third quarter’s</w:t>
            </w:r>
            <w:r w:rsidRPr="000127B6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561000276.10 TRY THO.</w:t>
            </w:r>
          </w:p>
        </w:tc>
        <w:tc>
          <w:tcPr>
            <w:tcW w:w="1520" w:type="dxa"/>
            <w:tcBorders>
              <w:right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14954B60" w14:textId="77777777" w:rsidR="000127B6" w:rsidRPr="006334F5" w:rsidRDefault="000127B6" w:rsidP="000127B6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Yes- it is a healthy trend since GDP constant prices are rising, which is an indication that the economy is doing well. </w:t>
            </w:r>
          </w:p>
          <w:p w14:paraId="62C14EDF" w14:textId="342A7474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14C483A6" w14:textId="72689FCA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6F1E42" w:rsidRPr="00393B67" w14:paraId="504EB743" w14:textId="77777777" w:rsidTr="0063066C">
        <w:trPr>
          <w:cantSplit/>
          <w:trHeight w:val="943"/>
          <w:jc w:val="center"/>
        </w:trPr>
        <w:tc>
          <w:tcPr>
            <w:tcW w:w="1353" w:type="dxa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614A731C" w14:textId="23F5481A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GDP</w:t>
            </w:r>
          </w:p>
          <w:p w14:paraId="6F38ABB1" w14:textId="4A5D9409" w:rsidR="006F1E42" w:rsidRPr="006334F5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</w:rPr>
              <w:t>Annual Growth Rate</w:t>
            </w:r>
          </w:p>
        </w:tc>
        <w:tc>
          <w:tcPr>
            <w:tcW w:w="2925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6C1F9C6F" w14:textId="3EB0093A" w:rsidR="006F1E42" w:rsidRPr="00D21FD4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18"/>
                <w:szCs w:val="18"/>
              </w:rPr>
            </w:pPr>
            <w:r w:rsidRPr="00D21FD4">
              <w:rPr>
                <w:rFonts w:ascii="Arial" w:eastAsiaTheme="minorHAnsi" w:hAnsi="Arial" w:cs="Arial"/>
                <w:bCs/>
                <w:color w:val="FFFFFF" w:themeColor="background1"/>
                <w:sz w:val="18"/>
                <w:szCs w:val="18"/>
              </w:rPr>
              <w:t xml:space="preserve">Percentage change in </w:t>
            </w:r>
            <w:r>
              <w:rPr>
                <w:rFonts w:ascii="Arial" w:eastAsiaTheme="minorHAnsi" w:hAnsi="Arial" w:cs="Arial"/>
                <w:bCs/>
                <w:color w:val="FFFFFF" w:themeColor="background1"/>
                <w:sz w:val="18"/>
                <w:szCs w:val="18"/>
              </w:rPr>
              <w:t xml:space="preserve">Real </w:t>
            </w:r>
            <w:r w:rsidRPr="00D21FD4">
              <w:rPr>
                <w:rFonts w:ascii="Arial" w:eastAsiaTheme="minorHAnsi" w:hAnsi="Arial" w:cs="Arial"/>
                <w:bCs/>
                <w:color w:val="FFFFFF" w:themeColor="background1"/>
                <w:sz w:val="18"/>
                <w:szCs w:val="18"/>
              </w:rPr>
              <w:t>GDP.</w:t>
            </w:r>
          </w:p>
        </w:tc>
        <w:tc>
          <w:tcPr>
            <w:tcW w:w="1660" w:type="dxa"/>
            <w:tcMar>
              <w:left w:w="144" w:type="dxa"/>
              <w:right w:w="144" w:type="dxa"/>
            </w:tcMar>
            <w:vAlign w:val="center"/>
          </w:tcPr>
          <w:p w14:paraId="414A77EF" w14:textId="77777777" w:rsidR="006F1E42" w:rsidRPr="00D46E81" w:rsidRDefault="000127B6" w:rsidP="00883A4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46E81">
              <w:rPr>
                <w:rFonts w:ascii="Arial" w:hAnsi="Arial" w:cs="Arial"/>
                <w:color w:val="333333"/>
                <w:sz w:val="18"/>
                <w:szCs w:val="18"/>
              </w:rPr>
              <w:br/>
              <w:t xml:space="preserve">8.80% </w:t>
            </w:r>
          </w:p>
          <w:p w14:paraId="78DA6F34" w14:textId="4D531897" w:rsidR="000127B6" w:rsidRPr="00D46E81" w:rsidRDefault="000127B6" w:rsidP="00883A4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46E81">
              <w:rPr>
                <w:rFonts w:ascii="Arial" w:hAnsi="Arial" w:cs="Arial"/>
                <w:color w:val="333333"/>
                <w:sz w:val="18"/>
                <w:szCs w:val="18"/>
              </w:rPr>
              <w:t xml:space="preserve">(2022) </w:t>
            </w:r>
          </w:p>
        </w:tc>
        <w:tc>
          <w:tcPr>
            <w:tcW w:w="1653" w:type="dxa"/>
            <w:tcMar>
              <w:left w:w="144" w:type="dxa"/>
              <w:right w:w="144" w:type="dxa"/>
            </w:tcMar>
            <w:vAlign w:val="center"/>
          </w:tcPr>
          <w:p w14:paraId="6EE90A3C" w14:textId="47258FD0" w:rsidR="00883A44" w:rsidRPr="00D46E81" w:rsidRDefault="00883A44" w:rsidP="000127B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D46E81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B12E9" w:rsidRPr="001B12E9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Saudi Arabia's GDP increased by 8.8% year over year in the third quarter of 2022, 12.2% year over year in the second, and 9.9% year over year in the first.</w:t>
            </w:r>
          </w:p>
        </w:tc>
        <w:tc>
          <w:tcPr>
            <w:tcW w:w="1484" w:type="dxa"/>
            <w:tcMar>
              <w:left w:w="144" w:type="dxa"/>
              <w:right w:w="144" w:type="dxa"/>
            </w:tcMar>
            <w:vAlign w:val="center"/>
          </w:tcPr>
          <w:p w14:paraId="604971B4" w14:textId="4241290C" w:rsidR="006F1E42" w:rsidRPr="00D46E81" w:rsidRDefault="00924187" w:rsidP="006F1E42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D46E81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No- it indicates </w:t>
            </w:r>
            <w:r w:rsidR="002A3F7C" w:rsidRPr="00D46E81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a </w:t>
            </w:r>
            <w:r w:rsidRPr="00D46E81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decline in the economic performance of Saudi Arabia</w:t>
            </w:r>
          </w:p>
          <w:p w14:paraId="00964011" w14:textId="794FCE6D" w:rsidR="006F1E42" w:rsidRPr="00D46E81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Mar>
              <w:left w:w="144" w:type="dxa"/>
              <w:right w:w="144" w:type="dxa"/>
            </w:tcMar>
            <w:vAlign w:val="center"/>
          </w:tcPr>
          <w:p w14:paraId="32A52C9E" w14:textId="77777777" w:rsidR="00D46E81" w:rsidRPr="00D46E81" w:rsidRDefault="00D46E81" w:rsidP="00D46E8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46E81">
              <w:rPr>
                <w:rFonts w:ascii="Arial" w:hAnsi="Arial" w:cs="Arial"/>
                <w:color w:val="333333"/>
                <w:sz w:val="18"/>
                <w:szCs w:val="18"/>
              </w:rPr>
              <w:br/>
              <w:t xml:space="preserve">3.90% </w:t>
            </w:r>
          </w:p>
          <w:p w14:paraId="05AD76CE" w14:textId="77777777" w:rsidR="00D46E81" w:rsidRPr="00D46E81" w:rsidRDefault="00D46E81" w:rsidP="00D46E8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46E81">
              <w:rPr>
                <w:rFonts w:ascii="Arial" w:hAnsi="Arial" w:cs="Arial"/>
                <w:color w:val="333333"/>
                <w:sz w:val="18"/>
                <w:szCs w:val="18"/>
              </w:rPr>
              <w:t xml:space="preserve">(2022) </w:t>
            </w:r>
          </w:p>
          <w:p w14:paraId="1F2481AD" w14:textId="77777777" w:rsidR="006F1E42" w:rsidRPr="00D46E81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tcMar>
              <w:left w:w="144" w:type="dxa"/>
              <w:right w:w="144" w:type="dxa"/>
            </w:tcMar>
            <w:vAlign w:val="center"/>
          </w:tcPr>
          <w:p w14:paraId="568F97D9" w14:textId="7AD3B403" w:rsidR="006F1E42" w:rsidRPr="00D46E81" w:rsidRDefault="00D46E81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D46E81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Following a previously reported 7.7% increase in the prior quarter, the Turkish economy grew by 3.9% year over year in the q3 of 2022.</w:t>
            </w:r>
          </w:p>
        </w:tc>
        <w:tc>
          <w:tcPr>
            <w:tcW w:w="1520" w:type="dxa"/>
            <w:tcBorders>
              <w:right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0BFA0297" w14:textId="52614509" w:rsidR="006F1E42" w:rsidRPr="00D46E81" w:rsidRDefault="00D46E81" w:rsidP="006F1E42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D46E81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No- as it represents a weak growth rate and a decline in the economic performance of Turkey        </w:t>
            </w:r>
          </w:p>
          <w:p w14:paraId="7F0A7C47" w14:textId="505A2DAB" w:rsidR="006F1E42" w:rsidRPr="00D46E81" w:rsidRDefault="006F1E42" w:rsidP="006F1E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63066C" w:rsidRPr="00393B67" w14:paraId="52B29420" w14:textId="77777777" w:rsidTr="0063066C">
        <w:trPr>
          <w:cantSplit/>
          <w:trHeight w:val="786"/>
          <w:jc w:val="center"/>
        </w:trPr>
        <w:tc>
          <w:tcPr>
            <w:tcW w:w="1353" w:type="dxa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76D96EC3" w14:textId="07AAF938" w:rsidR="0063066C" w:rsidRPr="006334F5" w:rsidRDefault="0063066C" w:rsidP="0063066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</w:rPr>
              <w:t>GDP per capita PPP</w:t>
            </w:r>
          </w:p>
        </w:tc>
        <w:tc>
          <w:tcPr>
            <w:tcW w:w="29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0E7B1E7D" w14:textId="025ED3BC" w:rsidR="0063066C" w:rsidRPr="00D21FD4" w:rsidRDefault="0063066C" w:rsidP="0063066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FFFFFF" w:themeColor="background1"/>
                <w:sz w:val="18"/>
                <w:szCs w:val="18"/>
              </w:rPr>
              <w:t xml:space="preserve">Real </w:t>
            </w:r>
            <w:r w:rsidRPr="00D21FD4">
              <w:rPr>
                <w:rFonts w:ascii="Arial" w:eastAsiaTheme="minorHAnsi" w:hAnsi="Arial" w:cs="Arial"/>
                <w:bCs/>
                <w:color w:val="FFFFFF" w:themeColor="background1"/>
                <w:sz w:val="18"/>
                <w:szCs w:val="18"/>
              </w:rPr>
              <w:t>GDP</w:t>
            </w:r>
            <w:r>
              <w:rPr>
                <w:rFonts w:ascii="Arial" w:eastAsiaTheme="minorHAnsi" w:hAnsi="Arial" w:cs="Arial"/>
                <w:bCs/>
                <w:color w:val="FFFFFF" w:themeColor="background1"/>
                <w:sz w:val="18"/>
                <w:szCs w:val="18"/>
              </w:rPr>
              <w:t xml:space="preserve"> value</w:t>
            </w:r>
            <w:r w:rsidRPr="00D21FD4">
              <w:rPr>
                <w:rFonts w:ascii="Arial" w:eastAsiaTheme="minorHAnsi" w:hAnsi="Arial" w:cs="Arial"/>
                <w:bCs/>
                <w:color w:val="FFFFFF" w:themeColor="background1"/>
                <w:sz w:val="18"/>
                <w:szCs w:val="18"/>
              </w:rPr>
              <w:t xml:space="preserve"> divided by total population.</w:t>
            </w:r>
          </w:p>
        </w:tc>
        <w:tc>
          <w:tcPr>
            <w:tcW w:w="1660" w:type="dxa"/>
            <w:tcMar>
              <w:left w:w="144" w:type="dxa"/>
              <w:right w:w="144" w:type="dxa"/>
            </w:tcMar>
            <w:vAlign w:val="center"/>
          </w:tcPr>
          <w:p w14:paraId="10C9B0C8" w14:textId="77777777" w:rsidR="0063066C" w:rsidRPr="0063066C" w:rsidRDefault="0063066C" w:rsidP="0063066C">
            <w:pPr>
              <w:rPr>
                <w:rFonts w:ascii="Arial" w:hAnsi="Arial" w:cs="Arial"/>
                <w:sz w:val="18"/>
                <w:szCs w:val="18"/>
              </w:rPr>
            </w:pPr>
            <w:r w:rsidRPr="0063066C">
              <w:rPr>
                <w:rFonts w:ascii="Arial" w:hAnsi="Arial" w:cs="Arial"/>
                <w:sz w:val="18"/>
                <w:szCs w:val="18"/>
              </w:rPr>
              <w:t xml:space="preserve">44339.31 USD </w:t>
            </w:r>
          </w:p>
          <w:p w14:paraId="43B8F16A" w14:textId="17A0A0B0" w:rsidR="0063066C" w:rsidRPr="0063066C" w:rsidRDefault="0063066C" w:rsidP="0063066C">
            <w:pPr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3066C">
              <w:rPr>
                <w:rFonts w:ascii="Arial" w:hAnsi="Arial" w:cs="Arial"/>
                <w:sz w:val="18"/>
                <w:szCs w:val="18"/>
              </w:rPr>
              <w:t xml:space="preserve">(2021) </w:t>
            </w:r>
          </w:p>
        </w:tc>
        <w:tc>
          <w:tcPr>
            <w:tcW w:w="1653" w:type="dxa"/>
            <w:tcMar>
              <w:left w:w="144" w:type="dxa"/>
              <w:right w:w="144" w:type="dxa"/>
            </w:tcMar>
            <w:vAlign w:val="center"/>
          </w:tcPr>
          <w:p w14:paraId="50C8588F" w14:textId="77777777" w:rsidR="0063066C" w:rsidRPr="0063066C" w:rsidRDefault="0063066C" w:rsidP="0063066C">
            <w:pPr>
              <w:rPr>
                <w:rFonts w:ascii="Arial" w:hAnsi="Arial" w:cs="Arial"/>
                <w:sz w:val="18"/>
                <w:szCs w:val="18"/>
              </w:rPr>
            </w:pPr>
            <w:r w:rsidRPr="0063066C">
              <w:rPr>
                <w:rFonts w:ascii="Arial" w:hAnsi="Arial" w:cs="Arial"/>
                <w:sz w:val="18"/>
                <w:szCs w:val="18"/>
              </w:rPr>
              <w:t xml:space="preserve">44339.31 USD </w:t>
            </w:r>
          </w:p>
          <w:p w14:paraId="42FFA8AF" w14:textId="77777777" w:rsidR="0063066C" w:rsidRPr="0063066C" w:rsidRDefault="0063066C" w:rsidP="0063066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3066C">
              <w:rPr>
                <w:rFonts w:ascii="Arial" w:hAnsi="Arial" w:cs="Arial"/>
                <w:sz w:val="18"/>
                <w:szCs w:val="18"/>
              </w:rPr>
              <w:t>(2021)</w:t>
            </w:r>
          </w:p>
          <w:p w14:paraId="4C84AB41" w14:textId="77777777" w:rsidR="0063066C" w:rsidRPr="0063066C" w:rsidRDefault="0063066C" w:rsidP="0063066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7D0C0B75" w14:textId="77777777" w:rsidR="0063066C" w:rsidRPr="0063066C" w:rsidRDefault="0063066C" w:rsidP="0063066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3066C">
              <w:rPr>
                <w:rFonts w:ascii="Arial" w:hAnsi="Arial" w:cs="Arial"/>
                <w:sz w:val="18"/>
                <w:szCs w:val="18"/>
              </w:rPr>
              <w:t>42891.69 USD (2020)</w:t>
            </w:r>
          </w:p>
          <w:p w14:paraId="382A9E79" w14:textId="77777777" w:rsidR="0063066C" w:rsidRPr="0063066C" w:rsidRDefault="0063066C" w:rsidP="0063066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291255C9" w14:textId="23C49CDC" w:rsidR="0063066C" w:rsidRPr="0063066C" w:rsidRDefault="0063066C" w:rsidP="0063066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3066C">
              <w:rPr>
                <w:rFonts w:ascii="Arial" w:hAnsi="Arial" w:cs="Arial"/>
                <w:sz w:val="18"/>
                <w:szCs w:val="18"/>
              </w:rPr>
              <w:t xml:space="preserve">44954.99 USD (2019) </w:t>
            </w:r>
          </w:p>
        </w:tc>
        <w:tc>
          <w:tcPr>
            <w:tcW w:w="1484" w:type="dxa"/>
            <w:tcMar>
              <w:left w:w="144" w:type="dxa"/>
              <w:right w:w="144" w:type="dxa"/>
            </w:tcMar>
            <w:vAlign w:val="center"/>
          </w:tcPr>
          <w:p w14:paraId="30AD3400" w14:textId="69A03B92" w:rsidR="0063066C" w:rsidRPr="0063066C" w:rsidRDefault="0063066C" w:rsidP="0063066C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3066C">
              <w:rPr>
                <w:rFonts w:ascii="Arial" w:eastAsiaTheme="minorHAnsi" w:hAnsi="Arial" w:cs="Arial"/>
                <w:bCs/>
                <w:sz w:val="18"/>
                <w:szCs w:val="18"/>
              </w:rPr>
              <w:t>Yes- it represents an increase in GDP per capita PPP. The size of the economy as a whole increase with faster GDP growth, which also improves financial conditions.</w:t>
            </w:r>
          </w:p>
        </w:tc>
        <w:tc>
          <w:tcPr>
            <w:tcW w:w="1530" w:type="dxa"/>
            <w:tcMar>
              <w:left w:w="144" w:type="dxa"/>
              <w:right w:w="144" w:type="dxa"/>
            </w:tcMar>
            <w:vAlign w:val="center"/>
          </w:tcPr>
          <w:p w14:paraId="02616FCE" w14:textId="41E39B34" w:rsidR="0063066C" w:rsidRPr="0063066C" w:rsidRDefault="0063066C" w:rsidP="0063066C">
            <w:pPr>
              <w:rPr>
                <w:rFonts w:ascii="Arial" w:hAnsi="Arial" w:cs="Arial"/>
                <w:sz w:val="18"/>
                <w:szCs w:val="18"/>
              </w:rPr>
            </w:pPr>
            <w:r w:rsidRPr="0063066C">
              <w:rPr>
                <w:rFonts w:ascii="Arial" w:hAnsi="Arial" w:cs="Arial"/>
                <w:sz w:val="18"/>
                <w:szCs w:val="18"/>
              </w:rPr>
              <w:t>31466.56</w:t>
            </w:r>
          </w:p>
          <w:p w14:paraId="2CBB1A2D" w14:textId="220614D6" w:rsidR="0063066C" w:rsidRPr="0063066C" w:rsidRDefault="0063066C" w:rsidP="0063066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3066C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USD </w:t>
            </w:r>
          </w:p>
          <w:p w14:paraId="7FB0A69C" w14:textId="4AD9D67B" w:rsidR="0063066C" w:rsidRPr="0063066C" w:rsidRDefault="0063066C" w:rsidP="0063066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3066C">
              <w:rPr>
                <w:rFonts w:ascii="Arial" w:eastAsiaTheme="minorHAnsi" w:hAnsi="Arial" w:cs="Arial"/>
                <w:bCs/>
                <w:sz w:val="18"/>
                <w:szCs w:val="18"/>
              </w:rPr>
              <w:t>(2021)</w:t>
            </w:r>
          </w:p>
        </w:tc>
        <w:tc>
          <w:tcPr>
            <w:tcW w:w="1620" w:type="dxa"/>
            <w:tcMar>
              <w:left w:w="144" w:type="dxa"/>
              <w:right w:w="144" w:type="dxa"/>
            </w:tcMar>
            <w:vAlign w:val="center"/>
          </w:tcPr>
          <w:p w14:paraId="36F49ADF" w14:textId="2291B502" w:rsidR="0063066C" w:rsidRPr="0063066C" w:rsidRDefault="0063066C" w:rsidP="0063066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3066C">
              <w:rPr>
                <w:rFonts w:ascii="Arial" w:eastAsiaTheme="minorHAnsi" w:hAnsi="Arial" w:cs="Arial"/>
                <w:bCs/>
                <w:sz w:val="18"/>
                <w:szCs w:val="18"/>
              </w:rPr>
              <w:t>The most recent estimate of Turkey's GDP per capita was 31466.56 US dollars in 2021. In 2020, it was 28473.21 USD and in 2019 it was 28150.06 USD</w:t>
            </w:r>
          </w:p>
        </w:tc>
        <w:tc>
          <w:tcPr>
            <w:tcW w:w="1520" w:type="dxa"/>
            <w:tcBorders>
              <w:right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439BFFD6" w14:textId="79348728" w:rsidR="0063066C" w:rsidRPr="0063066C" w:rsidRDefault="0063066C" w:rsidP="0063066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3066C">
              <w:rPr>
                <w:rFonts w:ascii="Arial" w:eastAsiaTheme="minorHAnsi" w:hAnsi="Arial" w:cs="Arial"/>
                <w:bCs/>
                <w:sz w:val="18"/>
                <w:szCs w:val="18"/>
              </w:rPr>
              <w:t>Yes- it represents an increase in GDP per capita PPP. The size of the economy as a whole increase with faster GDP growth, which also improves financial conditions.</w:t>
            </w:r>
          </w:p>
        </w:tc>
      </w:tr>
      <w:tr w:rsidR="0063066C" w:rsidRPr="00393B67" w14:paraId="26B23C99" w14:textId="77777777" w:rsidTr="0063066C">
        <w:trPr>
          <w:cantSplit/>
          <w:trHeight w:val="864"/>
          <w:jc w:val="center"/>
        </w:trPr>
        <w:tc>
          <w:tcPr>
            <w:tcW w:w="1353" w:type="dxa"/>
            <w:tcBorders>
              <w:top w:val="single" w:sz="6" w:space="0" w:color="FFFFFF" w:themeColor="background1"/>
              <w:left w:val="single" w:sz="12" w:space="0" w:color="auto"/>
              <w:bottom w:val="single" w:sz="12" w:space="0" w:color="auto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27E9723C" w14:textId="19C69447" w:rsidR="0063066C" w:rsidRPr="006334F5" w:rsidRDefault="0063066C" w:rsidP="0063066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</w:rPr>
              <w:t>Ease of Doing Business</w:t>
            </w:r>
          </w:p>
        </w:tc>
        <w:tc>
          <w:tcPr>
            <w:tcW w:w="29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41D01CC5" w14:textId="27279561" w:rsidR="0063066C" w:rsidRPr="00D21FD4" w:rsidRDefault="0063066C" w:rsidP="0063066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16"/>
                <w:szCs w:val="16"/>
              </w:rPr>
            </w:pPr>
            <w:r w:rsidRPr="00D21FD4">
              <w:rPr>
                <w:rFonts w:ascii="Arial" w:eastAsiaTheme="minorHAnsi" w:hAnsi="Arial" w:cs="Arial"/>
                <w:bCs/>
                <w:color w:val="FFFFFF" w:themeColor="background1"/>
                <w:sz w:val="16"/>
                <w:szCs w:val="16"/>
              </w:rPr>
              <w:t>Higher rankings (a low numerical value) indicate better, usually simpler, regulations for businesses and stronger protections of property rights.</w:t>
            </w:r>
          </w:p>
        </w:tc>
        <w:tc>
          <w:tcPr>
            <w:tcW w:w="1660" w:type="dxa"/>
            <w:tcBorders>
              <w:bottom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7B16EAA5" w14:textId="0B61108B" w:rsidR="0063066C" w:rsidRPr="006334F5" w:rsidRDefault="00DB1E86" w:rsidP="001B12E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DB1E86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The country had a total rating of 71.6 out of 100, placing it 62nd out of 190 countries 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3934B806" w14:textId="315D4AE2" w:rsidR="0063066C" w:rsidRPr="006334F5" w:rsidRDefault="00DB1E86" w:rsidP="0063066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DB1E86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Among 190 countries, the nation ranked 62nd overall (up from 92nd) for ease of doing business.</w:t>
            </w:r>
          </w:p>
        </w:tc>
        <w:tc>
          <w:tcPr>
            <w:tcW w:w="1484" w:type="dxa"/>
            <w:tcBorders>
              <w:bottom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404B952C" w14:textId="607ED9D6" w:rsidR="0063066C" w:rsidRPr="006334F5" w:rsidRDefault="001B12E9" w:rsidP="001B12E9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1B12E9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Yes, as it suggests improved corporate regulations and robust property rights protection.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2EA6869D" w14:textId="150B99AA" w:rsidR="0063066C" w:rsidRPr="006334F5" w:rsidRDefault="00DB1E86" w:rsidP="0063066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DB1E86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Considering the ease of doing business, Turkey is placed 33rd out of 190 economies.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4586EF67" w14:textId="5DAF52EC" w:rsidR="0063066C" w:rsidRPr="006334F5" w:rsidRDefault="00DB1E86" w:rsidP="0063066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DB1E86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Turkey's ranking increased from 43 in 2018 to 33 in 2019.</w:t>
            </w:r>
          </w:p>
        </w:tc>
        <w:tc>
          <w:tcPr>
            <w:tcW w:w="1520" w:type="dxa"/>
            <w:tcBorders>
              <w:bottom w:val="single" w:sz="12" w:space="0" w:color="auto"/>
              <w:right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02BAD140" w14:textId="77777777" w:rsidR="00DB1E86" w:rsidRPr="006334F5" w:rsidRDefault="00DB1E86" w:rsidP="00DB1E86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Yes- as it suggests better business regulations and stronger protections of property rights </w:t>
            </w:r>
          </w:p>
          <w:p w14:paraId="0EDBF0D1" w14:textId="53FA4164" w:rsidR="0063066C" w:rsidRPr="006334F5" w:rsidRDefault="00DB1E86" w:rsidP="00DB1E8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2C690A27" w14:textId="4B5769E4" w:rsidR="004D785C" w:rsidRPr="00393B67" w:rsidRDefault="004D785C" w:rsidP="00B03EE5">
      <w:pPr>
        <w:spacing w:after="240" w:line="276" w:lineRule="auto"/>
        <w:rPr>
          <w:rFonts w:ascii="Arial" w:eastAsiaTheme="minorHAnsi" w:hAnsi="Arial" w:cs="Arial"/>
          <w:b/>
          <w:bCs/>
          <w:color w:val="7F7F7F" w:themeColor="text1" w:themeTint="80"/>
          <w:sz w:val="44"/>
          <w:szCs w:val="44"/>
        </w:rPr>
      </w:pPr>
    </w:p>
    <w:p w14:paraId="2BE30CDC" w14:textId="38B6E44F" w:rsidR="00FA3F3F" w:rsidRPr="0031030B" w:rsidRDefault="002647FC" w:rsidP="00563580">
      <w:pPr>
        <w:spacing w:after="240" w:line="276" w:lineRule="auto"/>
        <w:rPr>
          <w:rStyle w:val="Hyperlink"/>
          <w:rFonts w:ascii="Arial" w:eastAsiaTheme="minorHAnsi" w:hAnsi="Arial" w:cs="Arial"/>
          <w:b/>
          <w:color w:val="262626" w:themeColor="text1" w:themeTint="D9"/>
          <w:sz w:val="20"/>
          <w:szCs w:val="22"/>
        </w:rPr>
      </w:pPr>
      <w:r w:rsidRPr="0031030B">
        <w:rPr>
          <w:rFonts w:ascii="Arial" w:eastAsiaTheme="minorHAnsi" w:hAnsi="Arial" w:cs="Arial"/>
          <w:b/>
          <w:bCs/>
          <w:color w:val="800000"/>
          <w:sz w:val="56"/>
          <w:szCs w:val="40"/>
          <w:bdr w:val="single" w:sz="4" w:space="0" w:color="auto"/>
          <w:shd w:val="clear" w:color="auto" w:fill="F2F2F2" w:themeFill="background1" w:themeFillShade="F2"/>
        </w:rPr>
        <w:lastRenderedPageBreak/>
        <w:t>U</w:t>
      </w:r>
      <w:r w:rsidR="00393B67" w:rsidRPr="0031030B"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  <w:t xml:space="preserve"> </w:t>
      </w:r>
      <w:r w:rsidR="00B230B3" w:rsidRPr="0031030B"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  <w:t xml:space="preserve">= </w:t>
      </w:r>
      <w:r w:rsidRPr="0031030B"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  <w:t>Unemployment &amp; Utilization</w:t>
      </w:r>
      <w:r w:rsidR="00FA3F3F" w:rsidRPr="0031030B"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  <w:tab/>
      </w:r>
      <w:r w:rsidR="0031030B"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  <w:tab/>
      </w:r>
      <w:r w:rsidR="0031030B"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  <w:tab/>
      </w:r>
      <w:r w:rsidR="0031030B"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  <w:tab/>
      </w:r>
      <w:r w:rsidR="00FA3F3F" w:rsidRPr="0031030B">
        <w:rPr>
          <w:rFonts w:ascii="Arial" w:eastAsiaTheme="minorHAnsi" w:hAnsi="Arial" w:cs="Arial"/>
          <w:b/>
          <w:color w:val="262626" w:themeColor="text1" w:themeTint="D9"/>
          <w:sz w:val="20"/>
          <w:szCs w:val="22"/>
        </w:rPr>
        <w:t xml:space="preserve">Click here to access the </w:t>
      </w:r>
      <w:hyperlink r:id="rId9" w:tooltip="tradingeconomics.com" w:history="1">
        <w:r w:rsidR="00FA3F3F" w:rsidRPr="0031030B">
          <w:rPr>
            <w:rStyle w:val="Hyperlink"/>
            <w:rFonts w:ascii="Arial" w:eastAsiaTheme="minorHAnsi" w:hAnsi="Arial" w:cs="Arial"/>
            <w:b/>
            <w:color w:val="262626" w:themeColor="text1" w:themeTint="D9"/>
            <w:sz w:val="20"/>
            <w:szCs w:val="22"/>
          </w:rPr>
          <w:t>Trading Economics website</w:t>
        </w:r>
      </w:hyperlink>
    </w:p>
    <w:tbl>
      <w:tblPr>
        <w:tblStyle w:val="TableGrid"/>
        <w:tblW w:w="13591" w:type="dxa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43"/>
        <w:gridCol w:w="1225"/>
        <w:gridCol w:w="275"/>
        <w:gridCol w:w="1962"/>
        <w:gridCol w:w="243"/>
        <w:gridCol w:w="1366"/>
        <w:gridCol w:w="243"/>
        <w:gridCol w:w="1530"/>
        <w:gridCol w:w="259"/>
        <w:gridCol w:w="1210"/>
        <w:gridCol w:w="243"/>
        <w:gridCol w:w="1297"/>
        <w:gridCol w:w="243"/>
        <w:gridCol w:w="1530"/>
        <w:gridCol w:w="259"/>
        <w:gridCol w:w="1218"/>
        <w:gridCol w:w="245"/>
      </w:tblGrid>
      <w:tr w:rsidR="00D22C85" w:rsidRPr="00393B67" w14:paraId="3E37CDEF" w14:textId="77777777" w:rsidTr="00D22C85">
        <w:trPr>
          <w:gridAfter w:val="1"/>
          <w:wAfter w:w="245" w:type="dxa"/>
          <w:cantSplit/>
          <w:trHeight w:val="240"/>
          <w:jc w:val="center"/>
        </w:trPr>
        <w:tc>
          <w:tcPr>
            <w:tcW w:w="14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40711F9A" w14:textId="77777777" w:rsidR="008D5482" w:rsidRPr="00393B67" w:rsidRDefault="008D5482" w:rsidP="002647F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93B67"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  <w:t>Indicator</w:t>
            </w:r>
          </w:p>
        </w:tc>
        <w:tc>
          <w:tcPr>
            <w:tcW w:w="2237" w:type="dxa"/>
            <w:gridSpan w:val="2"/>
            <w:vMerge w:val="restart"/>
            <w:tcBorders>
              <w:top w:val="single" w:sz="12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4ED62A57" w14:textId="77777777" w:rsidR="008D5482" w:rsidRPr="00393B67" w:rsidRDefault="008D5482" w:rsidP="002647F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93B67"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  <w:t>Meaning</w:t>
            </w:r>
          </w:p>
        </w:tc>
        <w:tc>
          <w:tcPr>
            <w:tcW w:w="4851" w:type="dxa"/>
            <w:gridSpan w:val="6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BE4123" w14:textId="7B6579F4" w:rsidR="008D5482" w:rsidRPr="00C91982" w:rsidRDefault="008D5482" w:rsidP="002647F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91982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Country: </w:t>
            </w:r>
            <w:r w:rsidR="00635097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Saudi Arabia </w:t>
            </w:r>
          </w:p>
        </w:tc>
        <w:tc>
          <w:tcPr>
            <w:tcW w:w="4790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94D838" w14:textId="5292B32F" w:rsidR="008D5482" w:rsidRPr="00C91982" w:rsidRDefault="008D5482" w:rsidP="002647F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91982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Country: </w:t>
            </w:r>
            <w:r w:rsidR="00635097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Turkey </w:t>
            </w:r>
          </w:p>
        </w:tc>
      </w:tr>
      <w:tr w:rsidR="00D22C85" w:rsidRPr="00393B67" w14:paraId="17ECD5D8" w14:textId="77777777" w:rsidTr="00D22C85">
        <w:trPr>
          <w:gridAfter w:val="1"/>
          <w:wAfter w:w="245" w:type="dxa"/>
          <w:cantSplit/>
          <w:trHeight w:val="240"/>
          <w:jc w:val="center"/>
        </w:trPr>
        <w:tc>
          <w:tcPr>
            <w:tcW w:w="1468" w:type="dxa"/>
            <w:gridSpan w:val="2"/>
            <w:vMerge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4EB3EE84" w14:textId="77777777" w:rsidR="009146E5" w:rsidRPr="00393B67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37" w:type="dxa"/>
            <w:gridSpan w:val="2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67D20C07" w14:textId="77777777" w:rsidR="009146E5" w:rsidRPr="00393B67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162DA4F3" w14:textId="77777777" w:rsidR="009146E5" w:rsidRPr="006334F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-662" w:firstLine="662"/>
              <w:contextualSpacing w:val="0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Latest Entry &amp;</w:t>
            </w:r>
          </w:p>
          <w:p w14:paraId="0BA0296E" w14:textId="701DC4DB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Frequency</w:t>
            </w:r>
          </w:p>
        </w:tc>
        <w:tc>
          <w:tcPr>
            <w:tcW w:w="1773" w:type="dxa"/>
            <w:gridSpan w:val="2"/>
            <w:vAlign w:val="center"/>
          </w:tcPr>
          <w:p w14:paraId="1A621ABC" w14:textId="0682D2EA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Trend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– with explanation</w:t>
            </w:r>
          </w:p>
        </w:tc>
        <w:tc>
          <w:tcPr>
            <w:tcW w:w="1469" w:type="dxa"/>
            <w:gridSpan w:val="2"/>
            <w:vAlign w:val="center"/>
          </w:tcPr>
          <w:p w14:paraId="40A861E0" w14:textId="1B0A646D" w:rsidR="009146E5" w:rsidRPr="00C91982" w:rsidRDefault="009C4E79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Healthy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Trend </w:t>
            </w: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(Y/N)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&amp; </w:t>
            </w:r>
            <w:proofErr w:type="gramStart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Why</w:t>
            </w:r>
            <w:proofErr w:type="gramEnd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?   </w:t>
            </w:r>
          </w:p>
        </w:tc>
        <w:tc>
          <w:tcPr>
            <w:tcW w:w="1540" w:type="dxa"/>
            <w:gridSpan w:val="2"/>
            <w:vAlign w:val="center"/>
          </w:tcPr>
          <w:p w14:paraId="16BF92D3" w14:textId="39611BEF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Latest Entry </w:t>
            </w:r>
            <w:r w:rsidRPr="00003C84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&amp;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03C84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Frequency</w:t>
            </w:r>
          </w:p>
        </w:tc>
        <w:tc>
          <w:tcPr>
            <w:tcW w:w="1773" w:type="dxa"/>
            <w:gridSpan w:val="2"/>
            <w:vAlign w:val="center"/>
          </w:tcPr>
          <w:p w14:paraId="4E706C89" w14:textId="25F91197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Trend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– with explanation</w:t>
            </w:r>
          </w:p>
        </w:tc>
        <w:tc>
          <w:tcPr>
            <w:tcW w:w="1477" w:type="dxa"/>
            <w:gridSpan w:val="2"/>
            <w:tcBorders>
              <w:right w:val="single" w:sz="12" w:space="0" w:color="auto"/>
            </w:tcBorders>
            <w:vAlign w:val="center"/>
          </w:tcPr>
          <w:p w14:paraId="4A00B356" w14:textId="494458AD" w:rsidR="009146E5" w:rsidRPr="00C91982" w:rsidRDefault="009C4E79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Healthy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Trend </w:t>
            </w: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(Y/N)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&amp; </w:t>
            </w:r>
            <w:proofErr w:type="gramStart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Why</w:t>
            </w:r>
            <w:proofErr w:type="gramEnd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?   </w:t>
            </w:r>
          </w:p>
        </w:tc>
      </w:tr>
      <w:tr w:rsidR="00D22C85" w:rsidRPr="00393B67" w14:paraId="01359EAD" w14:textId="77777777" w:rsidTr="00D22C85">
        <w:trPr>
          <w:gridAfter w:val="1"/>
          <w:wAfter w:w="245" w:type="dxa"/>
          <w:cantSplit/>
          <w:trHeight w:val="864"/>
          <w:jc w:val="center"/>
        </w:trPr>
        <w:tc>
          <w:tcPr>
            <w:tcW w:w="1468" w:type="dxa"/>
            <w:gridSpan w:val="2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3F163044" w14:textId="5146730C" w:rsidR="009146E5" w:rsidRPr="00393B67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393B67"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t>Unemploy</w:t>
            </w:r>
            <w:proofErr w:type="spellEnd"/>
            <w:r w:rsidRPr="00393B67"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t>-</w:t>
            </w:r>
          </w:p>
          <w:p w14:paraId="6ABD3361" w14:textId="77690F63" w:rsidR="009146E5" w:rsidRPr="00393B67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393B67"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t>ment</w:t>
            </w:r>
            <w:proofErr w:type="spellEnd"/>
          </w:p>
          <w:p w14:paraId="7DE431BF" w14:textId="14805289" w:rsidR="009146E5" w:rsidRPr="00393B67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93B67"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t>Rate %</w:t>
            </w:r>
          </w:p>
        </w:tc>
        <w:tc>
          <w:tcPr>
            <w:tcW w:w="2237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64B8AE6C" w14:textId="7777777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  <w:p w14:paraId="49250F24" w14:textId="0F21FF7B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P</w:t>
            </w:r>
            <w:r w:rsidRPr="00393B67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ercentage of unemployed workers in the total labor force. It is low during good economic times and high during recessions.</w:t>
            </w:r>
          </w:p>
          <w:p w14:paraId="36556A1E" w14:textId="6C2B0328" w:rsidR="009146E5" w:rsidRPr="00393B67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Mar>
              <w:left w:w="144" w:type="dxa"/>
              <w:right w:w="144" w:type="dxa"/>
            </w:tcMar>
            <w:vAlign w:val="center"/>
          </w:tcPr>
          <w:p w14:paraId="7B1AD99F" w14:textId="13C82A05" w:rsidR="001B12E9" w:rsidRDefault="001B12E9" w:rsidP="00883A44">
            <w:pPr>
              <w:rPr>
                <w:rFonts w:ascii="Arial" w:hAnsi="Arial" w:cs="Arial"/>
                <w:sz w:val="18"/>
              </w:rPr>
            </w:pPr>
            <w:r w:rsidRPr="001B12E9">
              <w:rPr>
                <w:rFonts w:ascii="Arial" w:hAnsi="Arial" w:cs="Arial"/>
                <w:sz w:val="18"/>
              </w:rPr>
              <w:t>In the q3 of 2022, Saudi Arabia's unemployment rate marginally increased to 9.9 percent from 9.7% in the q2. </w:t>
            </w:r>
          </w:p>
          <w:p w14:paraId="50AD63C8" w14:textId="34BE143B" w:rsidR="001B12E9" w:rsidRPr="004D785C" w:rsidRDefault="001B12E9" w:rsidP="00883A44">
            <w:pPr>
              <w:rPr>
                <w:rFonts w:ascii="Arial" w:eastAsiaTheme="minorHAnsi" w:hAnsi="Arial" w:cs="Arial"/>
                <w:sz w:val="18"/>
              </w:rPr>
            </w:pPr>
          </w:p>
        </w:tc>
        <w:tc>
          <w:tcPr>
            <w:tcW w:w="1773" w:type="dxa"/>
            <w:gridSpan w:val="2"/>
            <w:tcMar>
              <w:left w:w="144" w:type="dxa"/>
              <w:right w:w="144" w:type="dxa"/>
            </w:tcMar>
            <w:vAlign w:val="center"/>
          </w:tcPr>
          <w:p w14:paraId="3A315924" w14:textId="77777777" w:rsidR="00051CC3" w:rsidRPr="00051CC3" w:rsidRDefault="00051CC3" w:rsidP="00051CC3">
            <w:pPr>
              <w:rPr>
                <w:rFonts w:ascii="Arial" w:hAnsi="Arial" w:cs="Arial"/>
                <w:sz w:val="18"/>
              </w:rPr>
            </w:pPr>
            <w:r w:rsidRPr="00051CC3">
              <w:rPr>
                <w:rFonts w:ascii="Arial" w:hAnsi="Arial" w:cs="Arial"/>
                <w:sz w:val="18"/>
              </w:rPr>
              <w:t>In 2021, the unemployment rate in Saudi Arabia was 7.36 percent, down 0.09 percent from 2020 and 7.45 percent from 2020, up 1.78 percent from 2019.</w:t>
            </w:r>
          </w:p>
          <w:p w14:paraId="26D9CFA4" w14:textId="12357AAB" w:rsidR="009146E5" w:rsidRPr="004D785C" w:rsidRDefault="00051CC3" w:rsidP="00051CC3">
            <w:pP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051CC3">
              <w:rPr>
                <w:rFonts w:ascii="Arial" w:hAnsi="Arial" w:cs="Arial"/>
                <w:sz w:val="18"/>
              </w:rPr>
              <w:t>The rate of unemployment was 5.67 percent in 2019, a decrease of 0.37 percent from 2018. The percentage rose by 0.15 percent to 6.04 percent in 2018.</w:t>
            </w:r>
          </w:p>
        </w:tc>
        <w:tc>
          <w:tcPr>
            <w:tcW w:w="1469" w:type="dxa"/>
            <w:gridSpan w:val="2"/>
            <w:tcMar>
              <w:left w:w="144" w:type="dxa"/>
              <w:right w:w="144" w:type="dxa"/>
            </w:tcMar>
            <w:vAlign w:val="center"/>
          </w:tcPr>
          <w:p w14:paraId="53F813B5" w14:textId="7219FD15" w:rsidR="009146E5" w:rsidRPr="004D785C" w:rsidRDefault="001806F1" w:rsidP="004D785C">
            <w:pPr>
              <w:rPr>
                <w:rFonts w:ascii="Arial" w:eastAsiaTheme="minorHAnsi" w:hAnsi="Arial" w:cs="Arial"/>
                <w:sz w:val="18"/>
              </w:rPr>
            </w:pPr>
            <w:r w:rsidRPr="004D785C">
              <w:rPr>
                <w:rFonts w:ascii="Arial" w:eastAsiaTheme="minorHAnsi" w:hAnsi="Arial" w:cs="Arial"/>
                <w:sz w:val="18"/>
              </w:rPr>
              <w:t>Yes</w:t>
            </w:r>
            <w:r w:rsidR="004D785C" w:rsidRPr="004D785C">
              <w:rPr>
                <w:rFonts w:ascii="Arial" w:eastAsiaTheme="minorHAnsi" w:hAnsi="Arial" w:cs="Arial"/>
                <w:sz w:val="18"/>
              </w:rPr>
              <w:t xml:space="preserve">, it is a healthy trend since the unemployment rate has declined 0.09% from the previous year </w:t>
            </w:r>
          </w:p>
        </w:tc>
        <w:tc>
          <w:tcPr>
            <w:tcW w:w="1540" w:type="dxa"/>
            <w:gridSpan w:val="2"/>
            <w:tcMar>
              <w:left w:w="144" w:type="dxa"/>
              <w:right w:w="144" w:type="dxa"/>
            </w:tcMar>
            <w:vAlign w:val="center"/>
          </w:tcPr>
          <w:p w14:paraId="6F18E4A3" w14:textId="15D9E9B3" w:rsidR="009146E5" w:rsidRPr="00677A5C" w:rsidRDefault="001B12E9" w:rsidP="00677A5C">
            <w:pPr>
              <w:rPr>
                <w:rFonts w:ascii="Arial" w:eastAsiaTheme="minorHAnsi" w:hAnsi="Arial" w:cs="Arial"/>
              </w:rPr>
            </w:pPr>
            <w:r w:rsidRPr="001B12E9">
              <w:rPr>
                <w:rFonts w:ascii="Arial" w:hAnsi="Arial" w:cs="Arial"/>
                <w:sz w:val="18"/>
              </w:rPr>
              <w:t>From 2005 through 2022, Turkey's average unemployment rate was 10.60 percent, hitting an all-time peak of 14.20 percent in July 2020.</w:t>
            </w:r>
          </w:p>
        </w:tc>
        <w:tc>
          <w:tcPr>
            <w:tcW w:w="1773" w:type="dxa"/>
            <w:gridSpan w:val="2"/>
            <w:tcMar>
              <w:left w:w="144" w:type="dxa"/>
              <w:right w:w="144" w:type="dxa"/>
            </w:tcMar>
            <w:vAlign w:val="center"/>
          </w:tcPr>
          <w:p w14:paraId="290831E9" w14:textId="047DC852" w:rsidR="009146E5" w:rsidRPr="00C91982" w:rsidRDefault="006E23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 w:rsidRPr="006E23E5">
              <w:rPr>
                <w:rFonts w:ascii="Arial" w:hAnsi="Arial" w:cs="Arial"/>
                <w:sz w:val="18"/>
              </w:rPr>
              <w:t>Turkey's unemployment rate increased by 0.28 percent from the previous year to 13.39 percent in 2021. It decreased by 0.56 percent from 2019 to 13.11 percent in 2020. It was 13.67% in 2019, a 2.78 percent increase from the previous year. was 10.89% in 2018, an increase of 0.07% from the previous year.</w:t>
            </w:r>
          </w:p>
        </w:tc>
        <w:tc>
          <w:tcPr>
            <w:tcW w:w="1477" w:type="dxa"/>
            <w:gridSpan w:val="2"/>
            <w:tcBorders>
              <w:right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29D7069A" w14:textId="5982D962" w:rsidR="001806F1" w:rsidRPr="006334F5" w:rsidRDefault="00677A5C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No- </w:t>
            </w:r>
            <w:r w:rsidRPr="00677A5C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An increase in unemployment is a sign of a struggling economy. People will inevitably become a burden to the economy if they cannot be employed as resources.</w:t>
            </w:r>
          </w:p>
          <w:p w14:paraId="5AEE40B7" w14:textId="36D144AC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22C85" w:rsidRPr="00393B67" w14:paraId="177A04A0" w14:textId="77777777" w:rsidTr="00D22C85">
        <w:trPr>
          <w:gridBefore w:val="1"/>
          <w:wBefore w:w="243" w:type="dxa"/>
          <w:cantSplit/>
          <w:trHeight w:val="4453"/>
          <w:jc w:val="center"/>
        </w:trPr>
        <w:tc>
          <w:tcPr>
            <w:tcW w:w="1500" w:type="dxa"/>
            <w:gridSpan w:val="2"/>
            <w:tcBorders>
              <w:top w:val="single" w:sz="6" w:space="0" w:color="FFFFFF" w:themeColor="background1"/>
              <w:left w:val="single" w:sz="12" w:space="0" w:color="auto"/>
              <w:bottom w:val="single" w:sz="12" w:space="0" w:color="auto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0114FF6F" w14:textId="2EB26BD7" w:rsidR="009146E5" w:rsidRPr="00393B67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Labor Force Participation</w:t>
            </w:r>
          </w:p>
        </w:tc>
        <w:tc>
          <w:tcPr>
            <w:tcW w:w="2205" w:type="dxa"/>
            <w:gridSpan w:val="2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68A2A1FD" w14:textId="7777777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  <w:p w14:paraId="2652C34A" w14:textId="7777777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  <w:p w14:paraId="37F04235" w14:textId="4501944A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N</w:t>
            </w:r>
            <w:r w:rsidRPr="00220E29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 xml:space="preserve">umber of people who are either employed or are actively looking for work. </w:t>
            </w:r>
          </w:p>
          <w:p w14:paraId="501AAACD" w14:textId="7777777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  <w:p w14:paraId="1D97FBBA" w14:textId="6BFBDA3D" w:rsidR="009146E5" w:rsidRPr="00393B67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bottom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7EC772C5" w14:textId="24184554" w:rsidR="00A607DC" w:rsidRDefault="00A607DC" w:rsidP="004D785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LFP rate averaged 54.86% from the year 1999 to 2022, with a peak of 61.50% in q4 of 2021 and a low of 47.80% in q2 of 2002 </w:t>
            </w:r>
          </w:p>
          <w:p w14:paraId="261FBCB8" w14:textId="77777777" w:rsidR="00A607DC" w:rsidRDefault="00A607DC" w:rsidP="004D785C">
            <w:pPr>
              <w:rPr>
                <w:rFonts w:ascii="Arial" w:hAnsi="Arial" w:cs="Arial"/>
                <w:sz w:val="18"/>
              </w:rPr>
            </w:pPr>
          </w:p>
          <w:p w14:paraId="353C85B7" w14:textId="74EABF9B" w:rsidR="009146E5" w:rsidRPr="004D785C" w:rsidRDefault="009146E5" w:rsidP="004D785C">
            <w:pPr>
              <w:rPr>
                <w:rFonts w:ascii="Arial" w:eastAsiaTheme="minorHAnsi" w:hAnsi="Arial" w:cs="Arial"/>
                <w:sz w:val="18"/>
              </w:rPr>
            </w:pPr>
          </w:p>
        </w:tc>
        <w:tc>
          <w:tcPr>
            <w:tcW w:w="1789" w:type="dxa"/>
            <w:gridSpan w:val="2"/>
            <w:tcBorders>
              <w:bottom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6DE27D77" w14:textId="140C50B2" w:rsidR="004D785C" w:rsidRPr="00D22C85" w:rsidRDefault="00A607DC" w:rsidP="00D22C8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 w:rsidRPr="00A607D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In 2021, the labor force participation rate was 23.33%, down 1.78% from 2020. In 2020, it was 25.11%, up 4.28% from 2019, in 2019 it was 20.83%, up 1.56% from 2018, and in 2018 it was 19.27%, up 1.27% from 2017.</w:t>
            </w:r>
          </w:p>
        </w:tc>
        <w:tc>
          <w:tcPr>
            <w:tcW w:w="1453" w:type="dxa"/>
            <w:gridSpan w:val="2"/>
            <w:tcBorders>
              <w:bottom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5EF587B5" w14:textId="02C274E5" w:rsidR="001806F1" w:rsidRPr="006334F5" w:rsidRDefault="004D785C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No- because the decline indicates less </w:t>
            </w:r>
            <w:r w:rsidR="0087034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employed ratio is in job hunt</w:t>
            </w:r>
            <w:r w:rsidR="00A607DC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actively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77A5C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which threatens the long-term growth of Saudi Arabia’s economy </w:t>
            </w:r>
          </w:p>
          <w:p w14:paraId="20930A1F" w14:textId="15443981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bottom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43F8023B" w14:textId="26CEC476" w:rsidR="009146E5" w:rsidRPr="00C91982" w:rsidRDefault="00D22C85" w:rsidP="0087034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 w:rsidRPr="00D22C8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 xml:space="preserve">Turkey's labor force participation rate averaged 48.89% from 2005 to 2022, with a </w:t>
            </w:r>
            <w:r w:rsidR="00A607DC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 xml:space="preserve">peak of 53.60% </w:t>
            </w:r>
            <w:r w:rsidRPr="00D22C8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i</w:t>
            </w:r>
            <w:r w:rsidR="00A607DC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n March 2019</w:t>
            </w:r>
            <w:r w:rsidRPr="00D22C8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.</w:t>
            </w:r>
          </w:p>
        </w:tc>
        <w:tc>
          <w:tcPr>
            <w:tcW w:w="1789" w:type="dxa"/>
            <w:gridSpan w:val="2"/>
            <w:tcBorders>
              <w:bottom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1C7A6967" w14:textId="3D77868A" w:rsidR="009146E5" w:rsidRPr="00D22C85" w:rsidRDefault="00A607DC" w:rsidP="00D22C8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sz w:val="18"/>
                <w:szCs w:val="20"/>
              </w:rPr>
            </w:pPr>
            <w:r w:rsidRPr="00A607DC">
              <w:rPr>
                <w:rFonts w:ascii="Arial" w:hAnsi="Arial" w:cs="Arial"/>
                <w:sz w:val="18"/>
              </w:rPr>
              <w:t>A 2.26% rise from 2020, the labor participation rate for 2021 was 41.48%.  A 5.27% decrease from 2019's rate, for 2020 it was 39.22%.  In 2019, the labor or force participation rate increased by 0.47% from the previous year to 44.49%.  In 2018, it increased by 0.61% from the preceding year to 44.02%.</w:t>
            </w:r>
          </w:p>
        </w:tc>
        <w:tc>
          <w:tcPr>
            <w:tcW w:w="1463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689E2EE5" w14:textId="614E34B9" w:rsidR="009146E5" w:rsidRPr="00D22C85" w:rsidRDefault="00A607DC" w:rsidP="00D22C85">
            <w:pPr>
              <w:rPr>
                <w:rFonts w:ascii="Arial" w:eastAsiaTheme="minorHAnsi" w:hAnsi="Arial" w:cs="Arial"/>
              </w:rPr>
            </w:pPr>
            <w:r w:rsidRPr="00A607DC">
              <w:rPr>
                <w:rFonts w:ascii="Arial" w:eastAsiaTheme="minorHAnsi" w:hAnsi="Arial" w:cs="Arial"/>
                <w:sz w:val="18"/>
              </w:rPr>
              <w:t xml:space="preserve">Yes, it does. It shows the proportion of labor resources that are accessible for use in producing products and </w:t>
            </w:r>
            <w:proofErr w:type="gramStart"/>
            <w:r w:rsidRPr="00A607DC">
              <w:rPr>
                <w:rFonts w:ascii="Arial" w:eastAsiaTheme="minorHAnsi" w:hAnsi="Arial" w:cs="Arial"/>
                <w:sz w:val="18"/>
              </w:rPr>
              <w:t>services.</w:t>
            </w:r>
            <w:r w:rsidR="00D22C85" w:rsidRPr="00D22C85">
              <w:rPr>
                <w:rFonts w:ascii="Arial" w:hAnsi="Arial" w:cs="Arial"/>
                <w:sz w:val="18"/>
              </w:rPr>
              <w:t>.</w:t>
            </w:r>
            <w:proofErr w:type="gramEnd"/>
          </w:p>
        </w:tc>
      </w:tr>
    </w:tbl>
    <w:p w14:paraId="322ED548" w14:textId="23BF0D40" w:rsidR="00FA3F3F" w:rsidRPr="00393B67" w:rsidRDefault="00EA6B08" w:rsidP="0031030B">
      <w:pPr>
        <w:spacing w:after="200" w:line="276" w:lineRule="auto"/>
        <w:rPr>
          <w:rFonts w:ascii="Arial" w:eastAsiaTheme="minorHAnsi" w:hAnsi="Arial" w:cs="Arial"/>
          <w:b/>
          <w:color w:val="7F7F7F" w:themeColor="text1" w:themeTint="80"/>
          <w:sz w:val="22"/>
          <w:szCs w:val="22"/>
        </w:rPr>
      </w:pPr>
      <w:r w:rsidRPr="00393B67">
        <w:rPr>
          <w:rFonts w:ascii="Arial" w:eastAsiaTheme="minorHAnsi" w:hAnsi="Arial" w:cs="Arial"/>
          <w:b/>
          <w:bCs/>
          <w:color w:val="7F7F7F" w:themeColor="text1" w:themeTint="80"/>
          <w:sz w:val="44"/>
          <w:szCs w:val="44"/>
        </w:rPr>
        <w:br w:type="page"/>
      </w:r>
      <w:r w:rsidR="00A223B2" w:rsidRPr="0031030B">
        <w:rPr>
          <w:rFonts w:ascii="Arial" w:eastAsiaTheme="minorHAnsi" w:hAnsi="Arial" w:cs="Arial"/>
          <w:b/>
          <w:bCs/>
          <w:color w:val="800000"/>
          <w:sz w:val="56"/>
          <w:szCs w:val="40"/>
          <w:bdr w:val="single" w:sz="4" w:space="0" w:color="auto"/>
          <w:shd w:val="clear" w:color="auto" w:fill="F2F2F2" w:themeFill="background1" w:themeFillShade="F2"/>
        </w:rPr>
        <w:lastRenderedPageBreak/>
        <w:t>I</w:t>
      </w:r>
      <w:r w:rsidR="00393B67" w:rsidRPr="0031030B">
        <w:rPr>
          <w:rFonts w:ascii="Arial" w:eastAsiaTheme="minorHAnsi" w:hAnsi="Arial" w:cs="Arial"/>
          <w:b/>
          <w:bCs/>
          <w:color w:val="7F7F7F" w:themeColor="text1" w:themeTint="80"/>
          <w:sz w:val="36"/>
          <w:szCs w:val="40"/>
        </w:rPr>
        <w:t xml:space="preserve"> </w:t>
      </w:r>
      <w:r w:rsidR="00B230B3" w:rsidRPr="0031030B"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  <w:t xml:space="preserve">= </w:t>
      </w:r>
      <w:r w:rsidR="00A223B2" w:rsidRPr="0031030B"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  <w:t>Inflation &amp; Interest Rates</w:t>
      </w:r>
      <w:r w:rsidR="00FA3F3F" w:rsidRPr="0031030B">
        <w:rPr>
          <w:rFonts w:ascii="Arial" w:eastAsiaTheme="minorHAnsi" w:hAnsi="Arial" w:cs="Arial"/>
          <w:b/>
          <w:bCs/>
          <w:color w:val="262626" w:themeColor="text1" w:themeTint="D9"/>
          <w:sz w:val="40"/>
          <w:szCs w:val="44"/>
        </w:rPr>
        <w:tab/>
      </w:r>
      <w:r w:rsidR="00FA3F3F" w:rsidRPr="0031030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31030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31030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31030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FA3F3F" w:rsidRPr="0031030B">
        <w:rPr>
          <w:rFonts w:ascii="Arial" w:eastAsiaTheme="minorHAnsi" w:hAnsi="Arial" w:cs="Arial"/>
          <w:b/>
          <w:color w:val="262626" w:themeColor="text1" w:themeTint="D9"/>
          <w:sz w:val="20"/>
          <w:szCs w:val="22"/>
        </w:rPr>
        <w:t xml:space="preserve">Click here to access the </w:t>
      </w:r>
      <w:hyperlink r:id="rId10" w:tooltip="tradingeconomics.com" w:history="1">
        <w:r w:rsidR="00FA3F3F" w:rsidRPr="0031030B">
          <w:rPr>
            <w:rStyle w:val="Hyperlink"/>
            <w:rFonts w:ascii="Arial" w:eastAsiaTheme="minorHAnsi" w:hAnsi="Arial" w:cs="Arial"/>
            <w:b/>
            <w:color w:val="262626" w:themeColor="text1" w:themeTint="D9"/>
            <w:sz w:val="20"/>
            <w:szCs w:val="22"/>
          </w:rPr>
          <w:t>Trading Economics website</w:t>
        </w:r>
      </w:hyperlink>
    </w:p>
    <w:tbl>
      <w:tblPr>
        <w:tblStyle w:val="TableGrid"/>
        <w:tblW w:w="0" w:type="auto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363"/>
        <w:gridCol w:w="2875"/>
        <w:gridCol w:w="1543"/>
        <w:gridCol w:w="1936"/>
        <w:gridCol w:w="1503"/>
        <w:gridCol w:w="1543"/>
        <w:gridCol w:w="1414"/>
        <w:gridCol w:w="1487"/>
      </w:tblGrid>
      <w:tr w:rsidR="008D5482" w:rsidRPr="00393B67" w14:paraId="701A78E5" w14:textId="77777777" w:rsidTr="001806F1">
        <w:trPr>
          <w:cantSplit/>
          <w:trHeight w:val="240"/>
          <w:jc w:val="center"/>
        </w:trPr>
        <w:tc>
          <w:tcPr>
            <w:tcW w:w="13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49B908E4" w14:textId="77777777" w:rsidR="008D5482" w:rsidRPr="00393B67" w:rsidRDefault="008D5482" w:rsidP="00E93F1F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203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93B67"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  <w:t>Indicator</w:t>
            </w:r>
          </w:p>
        </w:tc>
        <w:tc>
          <w:tcPr>
            <w:tcW w:w="2892" w:type="dxa"/>
            <w:vMerge w:val="restart"/>
            <w:tcBorders>
              <w:top w:val="single" w:sz="12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5A96F595" w14:textId="77777777" w:rsidR="008D5482" w:rsidRPr="00393B67" w:rsidRDefault="008D5482" w:rsidP="00E93F1F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203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93B67"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  <w:t>Meaning</w:t>
            </w:r>
          </w:p>
        </w:tc>
        <w:tc>
          <w:tcPr>
            <w:tcW w:w="4998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A5BD2D" w14:textId="4B844C14" w:rsidR="008D5482" w:rsidRPr="00C91982" w:rsidRDefault="008D5482" w:rsidP="002647F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91982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Country: </w:t>
            </w:r>
            <w:r w:rsidR="003C550D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Saudi Arabia </w:t>
            </w:r>
          </w:p>
        </w:tc>
        <w:tc>
          <w:tcPr>
            <w:tcW w:w="445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47B5EA" w14:textId="4B832C0D" w:rsidR="008D5482" w:rsidRPr="00C91982" w:rsidRDefault="008D5482" w:rsidP="002647F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91982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Country: </w:t>
            </w:r>
            <w:r w:rsidR="003C550D">
              <w:rPr>
                <w:rFonts w:ascii="Arial" w:eastAsiaTheme="minorHAnsi" w:hAnsi="Arial" w:cs="Arial"/>
                <w:b/>
                <w:bCs/>
                <w:color w:val="000000" w:themeColor="text1"/>
              </w:rPr>
              <w:t>Turkey</w:t>
            </w:r>
          </w:p>
        </w:tc>
      </w:tr>
      <w:tr w:rsidR="008D7B26" w:rsidRPr="00393B67" w14:paraId="0F736D74" w14:textId="77777777" w:rsidTr="001806F1">
        <w:trPr>
          <w:cantSplit/>
          <w:trHeight w:val="240"/>
          <w:jc w:val="center"/>
        </w:trPr>
        <w:tc>
          <w:tcPr>
            <w:tcW w:w="1362" w:type="dxa"/>
            <w:vMerge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570A17E9" w14:textId="77777777" w:rsidR="009146E5" w:rsidRPr="00393B67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203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892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39441884" w14:textId="77777777" w:rsidR="009146E5" w:rsidRPr="00393B67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203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0540076F" w14:textId="77777777" w:rsidR="009146E5" w:rsidRPr="006334F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-662" w:firstLine="662"/>
              <w:contextualSpacing w:val="0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Latest Entry &amp;</w:t>
            </w:r>
          </w:p>
          <w:p w14:paraId="717F5966" w14:textId="0469D424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Frequency</w:t>
            </w:r>
          </w:p>
        </w:tc>
        <w:tc>
          <w:tcPr>
            <w:tcW w:w="1946" w:type="dxa"/>
            <w:vAlign w:val="center"/>
          </w:tcPr>
          <w:p w14:paraId="3D95962A" w14:textId="2CFAC5BD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Trend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– with </w:t>
            </w:r>
            <w:r w:rsidR="006359F8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an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explanation</w:t>
            </w:r>
          </w:p>
        </w:tc>
        <w:tc>
          <w:tcPr>
            <w:tcW w:w="1507" w:type="dxa"/>
            <w:vAlign w:val="center"/>
          </w:tcPr>
          <w:p w14:paraId="2EAEA9B1" w14:textId="5B3CCEE3" w:rsidR="009146E5" w:rsidRPr="00C91982" w:rsidRDefault="009C4E79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Healthy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Trend </w:t>
            </w: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(Y/N)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&amp; </w:t>
            </w:r>
            <w:proofErr w:type="gramStart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Why</w:t>
            </w:r>
            <w:proofErr w:type="gramEnd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?   </w:t>
            </w:r>
          </w:p>
        </w:tc>
        <w:tc>
          <w:tcPr>
            <w:tcW w:w="1547" w:type="dxa"/>
            <w:vAlign w:val="center"/>
          </w:tcPr>
          <w:p w14:paraId="069EB22A" w14:textId="77777777" w:rsidR="009146E5" w:rsidRPr="006334F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-662" w:firstLine="662"/>
              <w:contextualSpacing w:val="0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Latest Entry &amp;</w:t>
            </w:r>
          </w:p>
          <w:p w14:paraId="7DB0BC5F" w14:textId="1125B939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Frequency</w:t>
            </w:r>
          </w:p>
        </w:tc>
        <w:tc>
          <w:tcPr>
            <w:tcW w:w="1417" w:type="dxa"/>
            <w:vAlign w:val="center"/>
          </w:tcPr>
          <w:p w14:paraId="003776E3" w14:textId="408F0EAE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Trend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– with </w:t>
            </w:r>
            <w:r w:rsidR="006359F8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an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explanation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14:paraId="6AD88501" w14:textId="2AC4108B" w:rsidR="009146E5" w:rsidRPr="00C91982" w:rsidRDefault="009C4E79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Healthy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Trend </w:t>
            </w: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(Y/N)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&amp; </w:t>
            </w:r>
            <w:proofErr w:type="gramStart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Why</w:t>
            </w:r>
            <w:proofErr w:type="gramEnd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?   </w:t>
            </w:r>
          </w:p>
        </w:tc>
      </w:tr>
      <w:tr w:rsidR="008D7B26" w:rsidRPr="00393B67" w14:paraId="0E730D64" w14:textId="77777777" w:rsidTr="001806F1">
        <w:trPr>
          <w:cantSplit/>
          <w:trHeight w:val="989"/>
          <w:jc w:val="center"/>
        </w:trPr>
        <w:tc>
          <w:tcPr>
            <w:tcW w:w="1362" w:type="dxa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429CCD72" w14:textId="47B0B1DE" w:rsidR="009146E5" w:rsidRPr="00393B67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203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93B67"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t>Interest Rate %</w:t>
            </w:r>
          </w:p>
        </w:tc>
        <w:tc>
          <w:tcPr>
            <w:tcW w:w="28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7259E754" w14:textId="7777777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203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  <w:p w14:paraId="0A89F7E5" w14:textId="7777777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203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  <w:r w:rsidRPr="00393B67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The price for holding money – time value of money or cost of money.</w:t>
            </w:r>
          </w:p>
          <w:p w14:paraId="69F7D159" w14:textId="7777777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203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  <w:p w14:paraId="148269C1" w14:textId="43BC5BA3" w:rsidR="009146E5" w:rsidRPr="00393B67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203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5" w:type="dxa"/>
            <w:tcMar>
              <w:left w:w="144" w:type="dxa"/>
              <w:right w:w="144" w:type="dxa"/>
            </w:tcMar>
            <w:vAlign w:val="center"/>
          </w:tcPr>
          <w:p w14:paraId="2D846166" w14:textId="77777777" w:rsidR="009146E5" w:rsidRDefault="00AD5E8D" w:rsidP="00AD5E8D">
            <w:pPr>
              <w:rPr>
                <w:rFonts w:ascii="Arial" w:hAnsi="Arial" w:cs="Arial"/>
                <w:sz w:val="18"/>
              </w:rPr>
            </w:pPr>
            <w:r w:rsidRPr="00AD5E8D">
              <w:rPr>
                <w:rFonts w:ascii="Arial" w:hAnsi="Arial" w:cs="Arial"/>
                <w:sz w:val="18"/>
              </w:rPr>
              <w:t>It is reported at 5.59 % pa in Nov 2022, compared with 4.97 % pa in the previous month.</w:t>
            </w:r>
          </w:p>
          <w:p w14:paraId="222E7E21" w14:textId="77777777" w:rsidR="006359F8" w:rsidRDefault="006359F8" w:rsidP="00AD5E8D">
            <w:pPr>
              <w:rPr>
                <w:rFonts w:ascii="Arial" w:hAnsi="Arial" w:cs="Arial"/>
                <w:sz w:val="18"/>
              </w:rPr>
            </w:pPr>
          </w:p>
          <w:p w14:paraId="622FAAB8" w14:textId="769A39F2" w:rsidR="006359F8" w:rsidRPr="00AD5E8D" w:rsidRDefault="006359F8" w:rsidP="00AD5E8D">
            <w:pPr>
              <w:rPr>
                <w:rFonts w:ascii="Arial" w:eastAsiaTheme="minorHAnsi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Monthly </w:t>
            </w:r>
          </w:p>
        </w:tc>
        <w:tc>
          <w:tcPr>
            <w:tcW w:w="1946" w:type="dxa"/>
            <w:tcMar>
              <w:left w:w="144" w:type="dxa"/>
              <w:right w:w="144" w:type="dxa"/>
            </w:tcMar>
            <w:vAlign w:val="center"/>
          </w:tcPr>
          <w:p w14:paraId="6C2F6DBE" w14:textId="4F64F0FE" w:rsidR="009146E5" w:rsidRDefault="001758C9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Jan 2018 (2%)</w:t>
            </w:r>
          </w:p>
          <w:p w14:paraId="18DE50E1" w14:textId="6674881F" w:rsidR="001758C9" w:rsidRDefault="001758C9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Jan 2019 (3%)</w:t>
            </w:r>
          </w:p>
          <w:p w14:paraId="7ABE53F9" w14:textId="77777777" w:rsidR="001758C9" w:rsidRDefault="001758C9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Jan 2020 (2.25%)</w:t>
            </w:r>
          </w:p>
          <w:p w14:paraId="59B550EC" w14:textId="613D956F" w:rsidR="001758C9" w:rsidRPr="00C91982" w:rsidRDefault="001758C9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 xml:space="preserve">Dec 2022 (5%) </w:t>
            </w:r>
          </w:p>
        </w:tc>
        <w:tc>
          <w:tcPr>
            <w:tcW w:w="1507" w:type="dxa"/>
            <w:tcMar>
              <w:left w:w="144" w:type="dxa"/>
              <w:right w:w="144" w:type="dxa"/>
            </w:tcMar>
            <w:vAlign w:val="center"/>
          </w:tcPr>
          <w:p w14:paraId="4A807E92" w14:textId="7FB050B4" w:rsidR="001806F1" w:rsidRPr="006334F5" w:rsidRDefault="001758C9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Yes- </w:t>
            </w:r>
            <w:r w:rsidRPr="001758C9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Individuals will receive a larger return on investments if interest rates go up. </w:t>
            </w:r>
          </w:p>
          <w:p w14:paraId="34A809AF" w14:textId="4D30F42F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Mar>
              <w:left w:w="144" w:type="dxa"/>
              <w:right w:w="144" w:type="dxa"/>
            </w:tcMar>
            <w:vAlign w:val="center"/>
          </w:tcPr>
          <w:p w14:paraId="2D884C34" w14:textId="613E1CE9" w:rsidR="009146E5" w:rsidRPr="00C91982" w:rsidRDefault="001758C9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 w:rsidRPr="001758C9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From 1990 to 2022, Turkey's interest rate averaged 57.91 percent, with record highs of 500.00 percent in March 1994 and 4.50 percent in May 2013 respectively.</w:t>
            </w:r>
          </w:p>
        </w:tc>
        <w:tc>
          <w:tcPr>
            <w:tcW w:w="1417" w:type="dxa"/>
            <w:tcMar>
              <w:left w:w="144" w:type="dxa"/>
              <w:right w:w="144" w:type="dxa"/>
            </w:tcMar>
            <w:vAlign w:val="center"/>
          </w:tcPr>
          <w:p w14:paraId="16D66DFB" w14:textId="67F4EA22" w:rsidR="004805B5" w:rsidRPr="00BD719E" w:rsidRDefault="001758C9" w:rsidP="004805B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BD719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2018 (23.3%)</w:t>
            </w:r>
          </w:p>
          <w:p w14:paraId="2C440FA8" w14:textId="27DD182B" w:rsidR="004805B5" w:rsidRPr="00BD719E" w:rsidRDefault="004805B5" w:rsidP="004805B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BD719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2019 (25.4%)</w:t>
            </w:r>
          </w:p>
          <w:p w14:paraId="055C8FE4" w14:textId="753FB3AE" w:rsidR="004805B5" w:rsidRPr="00BD719E" w:rsidRDefault="004805B5" w:rsidP="004805B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BD719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2020 (13.4%)</w:t>
            </w:r>
          </w:p>
          <w:p w14:paraId="6E595C88" w14:textId="77777777" w:rsidR="004805B5" w:rsidRPr="00BD719E" w:rsidRDefault="004805B5" w:rsidP="004805B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BD719E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2021 (20.7%)</w:t>
            </w:r>
          </w:p>
          <w:p w14:paraId="7723FD62" w14:textId="77777777" w:rsidR="004805B5" w:rsidRPr="00BD719E" w:rsidRDefault="004805B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</w:p>
          <w:p w14:paraId="60E02142" w14:textId="25A0D432" w:rsidR="001758C9" w:rsidRPr="00C91982" w:rsidRDefault="001758C9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right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220E0218" w14:textId="76667CCE" w:rsidR="009146E5" w:rsidRPr="00C91982" w:rsidRDefault="008D7B26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Increasing</w:t>
            </w:r>
            <w:r w:rsidRPr="008D7B26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interest rates limit investment, stock market valuations, and consumption. </w:t>
            </w:r>
          </w:p>
        </w:tc>
      </w:tr>
      <w:tr w:rsidR="008D7B26" w:rsidRPr="00393B67" w14:paraId="655BEFA2" w14:textId="77777777" w:rsidTr="001806F1">
        <w:trPr>
          <w:cantSplit/>
          <w:trHeight w:val="864"/>
          <w:jc w:val="center"/>
        </w:trPr>
        <w:tc>
          <w:tcPr>
            <w:tcW w:w="1362" w:type="dxa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6ED5716B" w14:textId="36C9E559" w:rsidR="009146E5" w:rsidRPr="00393B67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203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93B67"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t>Inflation Rate %</w:t>
            </w:r>
          </w:p>
        </w:tc>
        <w:tc>
          <w:tcPr>
            <w:tcW w:w="28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7E0C81CA" w14:textId="7777777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203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  <w:p w14:paraId="39A1AD81" w14:textId="2325BBF3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203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  <w:r w:rsidRPr="00393B67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 xml:space="preserve">Represents the long run inflation rate; transitionary price changes are </w:t>
            </w:r>
            <w:r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e</w:t>
            </w:r>
            <w:r w:rsidRPr="00393B67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xcluded.</w:t>
            </w:r>
          </w:p>
          <w:p w14:paraId="5A2A4855" w14:textId="7777777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203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  <w:p w14:paraId="63273645" w14:textId="77777777" w:rsidR="009146E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203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  <w:p w14:paraId="0D6D09A4" w14:textId="78D62F52" w:rsidR="009146E5" w:rsidRPr="00393B67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203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5" w:type="dxa"/>
            <w:tcMar>
              <w:left w:w="144" w:type="dxa"/>
              <w:right w:w="144" w:type="dxa"/>
            </w:tcMar>
            <w:vAlign w:val="center"/>
          </w:tcPr>
          <w:p w14:paraId="2AAD5F7A" w14:textId="1A23238A" w:rsidR="006359F8" w:rsidRPr="006359F8" w:rsidRDefault="00A607DC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A607DC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The average annual inflation rate from 1964 to 2021, the period under consideration, was 3.5%.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 xml:space="preserve"> </w:t>
            </w:r>
          </w:p>
          <w:p w14:paraId="3F4E1ED0" w14:textId="0435A184" w:rsidR="006359F8" w:rsidRPr="00C91982" w:rsidRDefault="006359F8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6" w:type="dxa"/>
            <w:tcMar>
              <w:left w:w="144" w:type="dxa"/>
              <w:right w:w="144" w:type="dxa"/>
            </w:tcMar>
            <w:vAlign w:val="center"/>
          </w:tcPr>
          <w:p w14:paraId="467FF1CD" w14:textId="281C78E8" w:rsidR="006359F8" w:rsidRPr="006359F8" w:rsidRDefault="006359F8" w:rsidP="006359F8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6359F8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March 2022 (2%)</w:t>
            </w:r>
          </w:p>
          <w:p w14:paraId="675717FF" w14:textId="5C28352E" w:rsidR="006359F8" w:rsidRPr="006359F8" w:rsidRDefault="006359F8" w:rsidP="006359F8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6359F8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July 2022 (2.7%)</w:t>
            </w:r>
          </w:p>
          <w:p w14:paraId="0D8D0360" w14:textId="3B72B947" w:rsidR="006359F8" w:rsidRPr="006359F8" w:rsidRDefault="006359F8" w:rsidP="006359F8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6359F8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Sept 2022 (3.1%)</w:t>
            </w:r>
          </w:p>
          <w:p w14:paraId="3B3A9FAD" w14:textId="19ED4828" w:rsidR="006359F8" w:rsidRPr="006359F8" w:rsidRDefault="006359F8" w:rsidP="006359F8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6359F8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 xml:space="preserve">Nov 2022 (2.9%) </w:t>
            </w:r>
          </w:p>
          <w:p w14:paraId="3300EA34" w14:textId="0770496C" w:rsidR="006359F8" w:rsidRPr="00C91982" w:rsidRDefault="006359F8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Mar>
              <w:left w:w="144" w:type="dxa"/>
              <w:right w:w="144" w:type="dxa"/>
            </w:tcMar>
            <w:vAlign w:val="center"/>
          </w:tcPr>
          <w:p w14:paraId="7E8A2FCD" w14:textId="45ABCD6D" w:rsidR="001806F1" w:rsidRPr="006334F5" w:rsidRDefault="006359F8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No- </w:t>
            </w:r>
            <w:r w:rsidRPr="006359F8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Low inflation may be an indication of a poor economy as it is frequently linked to 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an </w:t>
            </w:r>
            <w:r w:rsidRPr="006359F8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economic crisis.</w:t>
            </w:r>
          </w:p>
          <w:p w14:paraId="323A495E" w14:textId="32003D3B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Mar>
              <w:left w:w="144" w:type="dxa"/>
              <w:right w:w="144" w:type="dxa"/>
            </w:tcMar>
            <w:vAlign w:val="center"/>
          </w:tcPr>
          <w:p w14:paraId="011D78E3" w14:textId="15D61718" w:rsidR="009146E5" w:rsidRPr="008D7B26" w:rsidRDefault="008D7B26" w:rsidP="008D7B26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8D7B26">
              <w:rPr>
                <w:rFonts w:ascii="Arial" w:hAnsi="Arial" w:cs="Arial"/>
                <w:sz w:val="18"/>
                <w:szCs w:val="18"/>
              </w:rPr>
              <w:t>CPI inflation rate in Turkey 2016-2022</w:t>
            </w:r>
          </w:p>
        </w:tc>
        <w:tc>
          <w:tcPr>
            <w:tcW w:w="1417" w:type="dxa"/>
            <w:tcMar>
              <w:left w:w="144" w:type="dxa"/>
              <w:right w:w="144" w:type="dxa"/>
            </w:tcMar>
            <w:vAlign w:val="center"/>
          </w:tcPr>
          <w:p w14:paraId="0D244151" w14:textId="03689015" w:rsidR="004805B5" w:rsidRDefault="004805B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8D7B26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Jan 2021 (14.97%)</w:t>
            </w:r>
          </w:p>
          <w:p w14:paraId="38AF3429" w14:textId="77777777" w:rsidR="004805B5" w:rsidRPr="008D7B26" w:rsidRDefault="004805B5" w:rsidP="004805B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8D7B26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Dec 2021 (36.08%)</w:t>
            </w:r>
          </w:p>
          <w:p w14:paraId="38788A90" w14:textId="73570BE6" w:rsidR="004805B5" w:rsidRDefault="004805B5" w:rsidP="004805B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8D7B26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March 2022 (61.14%)</w:t>
            </w:r>
          </w:p>
          <w:p w14:paraId="62B358DB" w14:textId="6D705CAE" w:rsidR="008D7B26" w:rsidRPr="008D7B26" w:rsidRDefault="008D7B26" w:rsidP="004805B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8D7B26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Oct 2022 (85.51%)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13F627A7" w14:textId="6EC8F965" w:rsidR="009146E5" w:rsidRPr="008D7B26" w:rsidRDefault="00870345" w:rsidP="00870345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No-Reduced purchasing power</w:t>
            </w:r>
            <w:r w:rsidR="006C1FB1" w:rsidRPr="006C1FB1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, can harm the economy.</w:t>
            </w:r>
          </w:p>
        </w:tc>
      </w:tr>
    </w:tbl>
    <w:p w14:paraId="62DC547A" w14:textId="77777777" w:rsidR="00990D24" w:rsidRDefault="00990D24">
      <w:pPr>
        <w:spacing w:after="200" w:line="276" w:lineRule="auto"/>
        <w:rPr>
          <w:rFonts w:ascii="Arial" w:eastAsiaTheme="minorHAnsi" w:hAnsi="Arial" w:cs="Arial"/>
          <w:b/>
          <w:bCs/>
          <w:color w:val="800000"/>
          <w:sz w:val="56"/>
          <w:szCs w:val="40"/>
          <w:bdr w:val="single" w:sz="4" w:space="0" w:color="auto"/>
          <w:shd w:val="clear" w:color="auto" w:fill="F2F2F2" w:themeFill="background1" w:themeFillShade="F2"/>
        </w:rPr>
      </w:pPr>
      <w:r>
        <w:rPr>
          <w:rFonts w:ascii="Arial" w:eastAsiaTheme="minorHAnsi" w:hAnsi="Arial" w:cs="Arial"/>
          <w:b/>
          <w:bCs/>
          <w:color w:val="800000"/>
          <w:sz w:val="56"/>
          <w:szCs w:val="40"/>
          <w:bdr w:val="single" w:sz="4" w:space="0" w:color="auto"/>
          <w:shd w:val="clear" w:color="auto" w:fill="F2F2F2" w:themeFill="background1" w:themeFillShade="F2"/>
        </w:rPr>
        <w:br w:type="page"/>
      </w:r>
    </w:p>
    <w:p w14:paraId="16F0194B" w14:textId="64B2CD1A" w:rsidR="00FA3F3F" w:rsidRPr="0031030B" w:rsidRDefault="00A223B2" w:rsidP="00563580">
      <w:pPr>
        <w:widowControl w:val="0"/>
        <w:autoSpaceDE w:val="0"/>
        <w:autoSpaceDN w:val="0"/>
        <w:adjustRightInd w:val="0"/>
        <w:spacing w:before="120" w:after="240"/>
        <w:rPr>
          <w:rStyle w:val="Hyperlink"/>
          <w:rFonts w:ascii="Arial" w:eastAsiaTheme="minorHAnsi" w:hAnsi="Arial" w:cs="Arial"/>
          <w:b/>
          <w:color w:val="7F7F7F" w:themeColor="text1" w:themeTint="80"/>
          <w:sz w:val="20"/>
          <w:szCs w:val="22"/>
        </w:rPr>
      </w:pPr>
      <w:r w:rsidRPr="0031030B">
        <w:rPr>
          <w:rFonts w:ascii="Arial" w:eastAsiaTheme="minorHAnsi" w:hAnsi="Arial" w:cs="Arial"/>
          <w:b/>
          <w:bCs/>
          <w:color w:val="800000"/>
          <w:sz w:val="56"/>
          <w:szCs w:val="40"/>
          <w:bdr w:val="single" w:sz="4" w:space="0" w:color="auto"/>
          <w:shd w:val="clear" w:color="auto" w:fill="F2F2F2" w:themeFill="background1" w:themeFillShade="F2"/>
        </w:rPr>
        <w:lastRenderedPageBreak/>
        <w:t>D</w:t>
      </w:r>
      <w:r w:rsidR="00393B67" w:rsidRPr="0031030B">
        <w:rPr>
          <w:rFonts w:ascii="Arial" w:eastAsiaTheme="minorHAnsi" w:hAnsi="Arial" w:cs="Arial"/>
          <w:b/>
          <w:bCs/>
          <w:color w:val="7F7F7F" w:themeColor="text1" w:themeTint="80"/>
          <w:sz w:val="36"/>
          <w:szCs w:val="40"/>
        </w:rPr>
        <w:t xml:space="preserve"> </w:t>
      </w:r>
      <w:r w:rsidR="00B230B3" w:rsidRPr="0031030B"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  <w:t xml:space="preserve">= </w:t>
      </w:r>
      <w:r w:rsidRPr="0031030B"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  <w:t>Debt &amp; Deficits</w:t>
      </w:r>
      <w:r w:rsidR="00FA3F3F" w:rsidRPr="0031030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FA3F3F" w:rsidRPr="0031030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Pr="0031030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Pr="0031030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31030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31030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31030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FA3F3F" w:rsidRPr="0031030B">
        <w:rPr>
          <w:rFonts w:ascii="Arial" w:eastAsiaTheme="minorHAnsi" w:hAnsi="Arial" w:cs="Arial"/>
          <w:b/>
          <w:color w:val="262626" w:themeColor="text1" w:themeTint="D9"/>
          <w:sz w:val="20"/>
          <w:szCs w:val="22"/>
        </w:rPr>
        <w:t xml:space="preserve">Click here to access the </w:t>
      </w:r>
      <w:hyperlink r:id="rId11" w:tooltip="tradingeconomics.com" w:history="1">
        <w:r w:rsidR="00FA3F3F" w:rsidRPr="0031030B">
          <w:rPr>
            <w:rStyle w:val="Hyperlink"/>
            <w:rFonts w:ascii="Arial" w:eastAsiaTheme="minorHAnsi" w:hAnsi="Arial" w:cs="Arial"/>
            <w:b/>
            <w:color w:val="262626" w:themeColor="text1" w:themeTint="D9"/>
            <w:sz w:val="20"/>
            <w:szCs w:val="22"/>
          </w:rPr>
          <w:t>Trading Economics website</w:t>
        </w:r>
      </w:hyperlink>
    </w:p>
    <w:tbl>
      <w:tblPr>
        <w:tblStyle w:val="TableGrid"/>
        <w:tblW w:w="0" w:type="auto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467"/>
        <w:gridCol w:w="1533"/>
        <w:gridCol w:w="1239"/>
        <w:gridCol w:w="1596"/>
        <w:gridCol w:w="1890"/>
        <w:gridCol w:w="2250"/>
        <w:gridCol w:w="1710"/>
        <w:gridCol w:w="1979"/>
      </w:tblGrid>
      <w:tr w:rsidR="00DA2148" w:rsidRPr="00393B67" w14:paraId="1BDC4D3F" w14:textId="77777777" w:rsidTr="00CA0F13">
        <w:trPr>
          <w:cantSplit/>
          <w:trHeight w:val="240"/>
          <w:jc w:val="center"/>
        </w:trPr>
        <w:tc>
          <w:tcPr>
            <w:tcW w:w="14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1407093F" w14:textId="77777777" w:rsidR="008D5482" w:rsidRPr="00393B67" w:rsidRDefault="008D5482" w:rsidP="002647F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93B67"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  <w:t>Indicator</w:t>
            </w:r>
          </w:p>
        </w:tc>
        <w:tc>
          <w:tcPr>
            <w:tcW w:w="1533" w:type="dxa"/>
            <w:vMerge w:val="restart"/>
            <w:tcBorders>
              <w:top w:val="single" w:sz="12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6CFA75CC" w14:textId="77777777" w:rsidR="008D5482" w:rsidRPr="00393B67" w:rsidRDefault="008D5482" w:rsidP="00C328AD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120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93B67"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  <w:t>Meaning</w:t>
            </w:r>
          </w:p>
        </w:tc>
        <w:tc>
          <w:tcPr>
            <w:tcW w:w="4725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152EA5" w14:textId="3BD785AE" w:rsidR="008D5482" w:rsidRPr="00C91982" w:rsidRDefault="008D5482" w:rsidP="002647F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91982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Country: </w:t>
            </w:r>
            <w:r w:rsidR="00CD6814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Saudi Arabia </w:t>
            </w:r>
          </w:p>
        </w:tc>
        <w:tc>
          <w:tcPr>
            <w:tcW w:w="593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4BD2A1" w14:textId="1CDF1502" w:rsidR="008D5482" w:rsidRPr="00C91982" w:rsidRDefault="008D5482" w:rsidP="002647F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91982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Country: </w:t>
            </w:r>
            <w:r w:rsidR="00CD6814">
              <w:rPr>
                <w:rFonts w:ascii="Arial" w:eastAsiaTheme="minorHAnsi" w:hAnsi="Arial" w:cs="Arial"/>
                <w:b/>
                <w:bCs/>
                <w:color w:val="000000" w:themeColor="text1"/>
              </w:rPr>
              <w:t>Turkey</w:t>
            </w:r>
          </w:p>
        </w:tc>
      </w:tr>
      <w:tr w:rsidR="00CA0F13" w:rsidRPr="00393B67" w14:paraId="0CB7DB5F" w14:textId="77777777" w:rsidTr="00CA0F13">
        <w:trPr>
          <w:cantSplit/>
          <w:trHeight w:val="240"/>
          <w:jc w:val="center"/>
        </w:trPr>
        <w:tc>
          <w:tcPr>
            <w:tcW w:w="1467" w:type="dxa"/>
            <w:vMerge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070EAE1F" w14:textId="77777777" w:rsidR="009146E5" w:rsidRPr="00393B67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593A99D3" w14:textId="77777777" w:rsidR="009146E5" w:rsidRPr="00393B67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120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31712E94" w14:textId="77777777" w:rsidR="009146E5" w:rsidRPr="006334F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-662" w:firstLine="662"/>
              <w:contextualSpacing w:val="0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Latest Entry &amp;</w:t>
            </w:r>
          </w:p>
          <w:p w14:paraId="10E86017" w14:textId="5E14B669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Frequency</w:t>
            </w:r>
          </w:p>
        </w:tc>
        <w:tc>
          <w:tcPr>
            <w:tcW w:w="1596" w:type="dxa"/>
            <w:vAlign w:val="center"/>
          </w:tcPr>
          <w:p w14:paraId="3DBB0B4D" w14:textId="32F725E3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Trend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– with </w:t>
            </w:r>
            <w:r w:rsidR="00DA2148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an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explanation</w:t>
            </w:r>
          </w:p>
        </w:tc>
        <w:tc>
          <w:tcPr>
            <w:tcW w:w="1890" w:type="dxa"/>
            <w:vAlign w:val="center"/>
          </w:tcPr>
          <w:p w14:paraId="4BAD649C" w14:textId="3510B2C9" w:rsidR="009146E5" w:rsidRPr="00C91982" w:rsidRDefault="009C4E79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Healthy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Trend </w:t>
            </w: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(Y/N)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&amp; </w:t>
            </w:r>
            <w:proofErr w:type="gramStart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Why</w:t>
            </w:r>
            <w:proofErr w:type="gramEnd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?   </w:t>
            </w:r>
          </w:p>
        </w:tc>
        <w:tc>
          <w:tcPr>
            <w:tcW w:w="2250" w:type="dxa"/>
            <w:vAlign w:val="center"/>
          </w:tcPr>
          <w:p w14:paraId="55F99421" w14:textId="183780B1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Latest Entry </w:t>
            </w:r>
            <w:r w:rsidRPr="00003C84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&amp;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03C84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Frequency</w:t>
            </w:r>
          </w:p>
        </w:tc>
        <w:tc>
          <w:tcPr>
            <w:tcW w:w="1710" w:type="dxa"/>
            <w:vAlign w:val="center"/>
          </w:tcPr>
          <w:p w14:paraId="62B49F8F" w14:textId="166C939F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Trend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– with explanation</w:t>
            </w:r>
          </w:p>
        </w:tc>
        <w:tc>
          <w:tcPr>
            <w:tcW w:w="1979" w:type="dxa"/>
            <w:tcBorders>
              <w:right w:val="single" w:sz="12" w:space="0" w:color="auto"/>
            </w:tcBorders>
            <w:vAlign w:val="center"/>
          </w:tcPr>
          <w:p w14:paraId="465A2E87" w14:textId="22A48BB0" w:rsidR="009146E5" w:rsidRPr="00C91982" w:rsidRDefault="009C4E79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Healthy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Trend </w:t>
            </w: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(Y/N)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&amp; </w:t>
            </w:r>
            <w:proofErr w:type="gramStart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Why</w:t>
            </w:r>
            <w:proofErr w:type="gramEnd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?   </w:t>
            </w:r>
          </w:p>
        </w:tc>
      </w:tr>
      <w:tr w:rsidR="00CA0F13" w:rsidRPr="00393B67" w14:paraId="60982370" w14:textId="77777777" w:rsidTr="00CA0F13">
        <w:trPr>
          <w:cantSplit/>
          <w:trHeight w:val="1191"/>
          <w:jc w:val="center"/>
        </w:trPr>
        <w:tc>
          <w:tcPr>
            <w:tcW w:w="1467" w:type="dxa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6552F8BF" w14:textId="3B1DA276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t>Government</w:t>
            </w:r>
          </w:p>
          <w:p w14:paraId="6D8C2CF2" w14:textId="71AA93C9" w:rsidR="001806F1" w:rsidRPr="00393B67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93B67"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t>Debt</w:t>
            </w:r>
          </w:p>
        </w:tc>
        <w:tc>
          <w:tcPr>
            <w:tcW w:w="153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42026FF5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  <w:r w:rsidRPr="00393B67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35A52F8F" w14:textId="00B6F7F0" w:rsidR="001806F1" w:rsidRPr="00393B67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  <w:r w:rsidRPr="00220E29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Debt owed by a government. (</w:t>
            </w:r>
            <w:proofErr w:type="gramStart"/>
            <w:r w:rsidRPr="00220E29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also</w:t>
            </w:r>
            <w:proofErr w:type="gramEnd"/>
            <w:r w:rsidRPr="00220E29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 xml:space="preserve"> known as public interest, national debt and sovereign debt</w:t>
            </w:r>
          </w:p>
        </w:tc>
        <w:tc>
          <w:tcPr>
            <w:tcW w:w="1239" w:type="dxa"/>
            <w:tcMar>
              <w:left w:w="144" w:type="dxa"/>
              <w:right w:w="144" w:type="dxa"/>
            </w:tcMar>
            <w:vAlign w:val="center"/>
          </w:tcPr>
          <w:p w14:paraId="4F209960" w14:textId="77777777" w:rsidR="001806F1" w:rsidRPr="00DA2148" w:rsidRDefault="00DA2148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DA2148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In September 2022, the government debt of the nation was 25.0% of its nominal GDP.</w:t>
            </w:r>
          </w:p>
          <w:p w14:paraId="2330461A" w14:textId="77777777" w:rsidR="00DA2148" w:rsidRPr="00DA2148" w:rsidRDefault="00DA2148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2E886056" w14:textId="4D973872" w:rsidR="00DA2148" w:rsidRPr="00DA2148" w:rsidRDefault="00DA2148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DA2148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Monthly </w:t>
            </w:r>
          </w:p>
        </w:tc>
        <w:tc>
          <w:tcPr>
            <w:tcW w:w="1596" w:type="dxa"/>
            <w:tcMar>
              <w:left w:w="144" w:type="dxa"/>
              <w:right w:w="144" w:type="dxa"/>
            </w:tcMar>
            <w:vAlign w:val="center"/>
          </w:tcPr>
          <w:p w14:paraId="111B46C4" w14:textId="35FBBB24" w:rsidR="004805B5" w:rsidRDefault="004805B5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DA2148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2018- 19% (increased)</w:t>
            </w:r>
          </w:p>
          <w:p w14:paraId="0EE1DE77" w14:textId="77777777" w:rsidR="004805B5" w:rsidRPr="00DA2148" w:rsidRDefault="004805B5" w:rsidP="004805B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DA2148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2019- 22.8% (increased)</w:t>
            </w:r>
          </w:p>
          <w:p w14:paraId="05E825B8" w14:textId="3447F836" w:rsidR="004805B5" w:rsidRDefault="004805B5" w:rsidP="004805B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DA2148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2020- 32.5% (increased)</w:t>
            </w:r>
          </w:p>
          <w:p w14:paraId="40E48328" w14:textId="480A06AF" w:rsidR="008D7B26" w:rsidRPr="00DA2148" w:rsidRDefault="008D7B26" w:rsidP="004805B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DA2148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2021- 30%</w:t>
            </w:r>
            <w:r w:rsidR="00DA2148" w:rsidRPr="00DA2148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(decline)</w:t>
            </w:r>
          </w:p>
        </w:tc>
        <w:tc>
          <w:tcPr>
            <w:tcW w:w="1890" w:type="dxa"/>
            <w:tcMar>
              <w:left w:w="144" w:type="dxa"/>
              <w:right w:w="144" w:type="dxa"/>
            </w:tcMar>
            <w:vAlign w:val="center"/>
          </w:tcPr>
          <w:p w14:paraId="3CF0FFEB" w14:textId="4E1E7059" w:rsidR="001806F1" w:rsidRPr="00DA2148" w:rsidRDefault="00DA2148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DA2148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Yes- this decline could affect inflation, interest rates, and the economic growth of the country </w:t>
            </w:r>
          </w:p>
          <w:p w14:paraId="34874EDB" w14:textId="1B694D43" w:rsidR="001806F1" w:rsidRPr="00DA2148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144" w:type="dxa"/>
              <w:right w:w="144" w:type="dxa"/>
            </w:tcMar>
            <w:vAlign w:val="center"/>
          </w:tcPr>
          <w:p w14:paraId="74FDFF3A" w14:textId="28EC366F" w:rsidR="00CA0F13" w:rsidRPr="00CA0F13" w:rsidRDefault="00CA0F13" w:rsidP="00CA0F13">
            <w:pPr>
              <w:rPr>
                <w:rFonts w:ascii="Arial" w:hAnsi="Arial" w:cs="Arial"/>
                <w:sz w:val="18"/>
              </w:rPr>
            </w:pPr>
          </w:p>
          <w:p w14:paraId="21C6A5BB" w14:textId="77777777" w:rsidR="00CA0F13" w:rsidRPr="00CA0F13" w:rsidRDefault="00CA0F13" w:rsidP="00CA0F13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</w:p>
          <w:p w14:paraId="45E8EA2B" w14:textId="5CD0A863" w:rsidR="001806F1" w:rsidRPr="00CA0F13" w:rsidRDefault="00CA0F13" w:rsidP="00CA0F1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CA0F13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Between 1986 and 2022, Turkey's government debt was 494828.26 TRY million, with a record high of 3907900.00 TRY million in November 2022 and a record low of 15.00 TRY million in January 1986.</w:t>
            </w:r>
          </w:p>
        </w:tc>
        <w:tc>
          <w:tcPr>
            <w:tcW w:w="1710" w:type="dxa"/>
            <w:tcMar>
              <w:left w:w="144" w:type="dxa"/>
              <w:right w:w="144" w:type="dxa"/>
            </w:tcMar>
            <w:vAlign w:val="center"/>
          </w:tcPr>
          <w:p w14:paraId="136C5FD2" w14:textId="440C33D7" w:rsidR="001806F1" w:rsidRPr="00CA0F13" w:rsidRDefault="00CA0F13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CA0F13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The Turkish government's debt rose from 3807800 TRY million in October to 3907900 TRY million in November of 2022.</w:t>
            </w:r>
          </w:p>
        </w:tc>
        <w:tc>
          <w:tcPr>
            <w:tcW w:w="1979" w:type="dxa"/>
            <w:tcBorders>
              <w:right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5C19B095" w14:textId="4823B1FB" w:rsidR="001806F1" w:rsidRPr="00C91982" w:rsidRDefault="00CA0F13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No- </w:t>
            </w:r>
            <w:r w:rsidR="00F312A8" w:rsidRPr="00F312A8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Countries with a lot of debt will have less money to put into their own futures. Having more obligation implies having less work possibilities. Rising obligation deters corporate venture and obstructs financial development.</w:t>
            </w:r>
          </w:p>
        </w:tc>
      </w:tr>
      <w:tr w:rsidR="00CA0F13" w:rsidRPr="00393B67" w14:paraId="06DC2C86" w14:textId="77777777" w:rsidTr="00CA0F13">
        <w:trPr>
          <w:cantSplit/>
          <w:trHeight w:val="1663"/>
          <w:jc w:val="center"/>
        </w:trPr>
        <w:tc>
          <w:tcPr>
            <w:tcW w:w="1467" w:type="dxa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47945B53" w14:textId="4F42338F" w:rsidR="001806F1" w:rsidRPr="00393B67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93B67"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Government Debt/GDP</w:t>
            </w:r>
          </w:p>
        </w:tc>
        <w:tc>
          <w:tcPr>
            <w:tcW w:w="1533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3702889B" w14:textId="6DB31901" w:rsidR="001806F1" w:rsidRPr="00393B67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R</w:t>
            </w:r>
            <w:r w:rsidRPr="00393B67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atio between a coun</w:t>
            </w:r>
            <w:r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try’s</w:t>
            </w:r>
          </w:p>
          <w:p w14:paraId="21805E9D" w14:textId="3112FC3E" w:rsidR="001806F1" w:rsidRPr="00393B67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  <w:r w:rsidRPr="00393B67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 xml:space="preserve">government debt and gross domestic product. </w:t>
            </w:r>
            <w:r w:rsidR="00867CF4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L</w:t>
            </w:r>
            <w:r w:rsidRPr="00393B67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ow ratio indicates the country can sufficiently pay back its debts without incurring debts</w:t>
            </w:r>
          </w:p>
        </w:tc>
        <w:tc>
          <w:tcPr>
            <w:tcW w:w="1239" w:type="dxa"/>
            <w:tcMar>
              <w:left w:w="144" w:type="dxa"/>
              <w:right w:w="144" w:type="dxa"/>
            </w:tcMar>
            <w:vAlign w:val="center"/>
          </w:tcPr>
          <w:p w14:paraId="0F70F81B" w14:textId="6DD85692" w:rsidR="001806F1" w:rsidRPr="00DA2148" w:rsidRDefault="00DA2148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DA2148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In September 2022, Saudi Arabia's government debt was 25.0% of the nation's nominal GDP, down from the previous quarter's ratio of 26.4%.</w:t>
            </w:r>
          </w:p>
        </w:tc>
        <w:tc>
          <w:tcPr>
            <w:tcW w:w="1596" w:type="dxa"/>
            <w:tcMar>
              <w:left w:w="144" w:type="dxa"/>
              <w:right w:w="144" w:type="dxa"/>
            </w:tcMar>
            <w:vAlign w:val="center"/>
          </w:tcPr>
          <w:p w14:paraId="6634F990" w14:textId="79EA10D8" w:rsidR="004805B5" w:rsidRDefault="004805B5" w:rsidP="00FF5C4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DA2148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2018- 19% (increased)</w:t>
            </w:r>
          </w:p>
          <w:p w14:paraId="28EB634E" w14:textId="77777777" w:rsidR="004805B5" w:rsidRPr="00DA2148" w:rsidRDefault="004805B5" w:rsidP="004805B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DA2148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2019- 22.8% (increased)</w:t>
            </w:r>
          </w:p>
          <w:p w14:paraId="38463EF5" w14:textId="37173117" w:rsidR="004805B5" w:rsidRDefault="004805B5" w:rsidP="004805B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DA2148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2020- 32.5% (increased)</w:t>
            </w:r>
          </w:p>
          <w:p w14:paraId="7BEAE7C4" w14:textId="0FC312C1" w:rsidR="001806F1" w:rsidRPr="004805B5" w:rsidRDefault="00FF5C49" w:rsidP="004805B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DA2148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2021- 30% (decline)</w:t>
            </w:r>
          </w:p>
        </w:tc>
        <w:tc>
          <w:tcPr>
            <w:tcW w:w="1890" w:type="dxa"/>
            <w:tcMar>
              <w:left w:w="144" w:type="dxa"/>
              <w:right w:w="144" w:type="dxa"/>
            </w:tcMar>
            <w:vAlign w:val="center"/>
          </w:tcPr>
          <w:p w14:paraId="4320A924" w14:textId="77777777" w:rsidR="00FF5C49" w:rsidRPr="00DA2148" w:rsidRDefault="00FF5C49" w:rsidP="00FF5C49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DA2148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Yes- this decline could affect inflation, interest rates, and the economic growth of the country </w:t>
            </w:r>
          </w:p>
          <w:p w14:paraId="6CBA2473" w14:textId="0981BBE9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Mar>
              <w:left w:w="144" w:type="dxa"/>
              <w:right w:w="144" w:type="dxa"/>
            </w:tcMar>
            <w:vAlign w:val="center"/>
          </w:tcPr>
          <w:p w14:paraId="3C153921" w14:textId="6EE66650" w:rsidR="001806F1" w:rsidRPr="00C91982" w:rsidRDefault="00CA0F13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 w:rsidRPr="00CA0F13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In 2021, Turkey's government debt reached a level that was equal to 42% of its GDP.</w:t>
            </w:r>
          </w:p>
        </w:tc>
        <w:tc>
          <w:tcPr>
            <w:tcW w:w="1710" w:type="dxa"/>
            <w:tcMar>
              <w:left w:w="144" w:type="dxa"/>
              <w:right w:w="144" w:type="dxa"/>
            </w:tcMar>
            <w:vAlign w:val="center"/>
          </w:tcPr>
          <w:p w14:paraId="32F6A4EF" w14:textId="440C3587" w:rsidR="004805B5" w:rsidRDefault="004805B5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CA0F13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2018- 30.2 % of GDP</w:t>
            </w:r>
          </w:p>
          <w:p w14:paraId="032CB021" w14:textId="77777777" w:rsidR="004805B5" w:rsidRPr="00CA0F13" w:rsidRDefault="004805B5" w:rsidP="004805B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CA0F13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 xml:space="preserve">2019- 32.6% of GDP </w:t>
            </w:r>
          </w:p>
          <w:p w14:paraId="2CE764A1" w14:textId="4E7A9253" w:rsidR="004805B5" w:rsidRDefault="004805B5" w:rsidP="004805B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CA0F13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2020- 39.7% of GDP</w:t>
            </w:r>
          </w:p>
          <w:p w14:paraId="153D6974" w14:textId="4F4C690C" w:rsidR="00CA0F13" w:rsidRPr="004805B5" w:rsidRDefault="00CA0F13" w:rsidP="004805B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CA0F13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2021- 42% of GDP</w:t>
            </w:r>
          </w:p>
        </w:tc>
        <w:tc>
          <w:tcPr>
            <w:tcW w:w="1979" w:type="dxa"/>
            <w:tcBorders>
              <w:right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66C0A08D" w14:textId="687D1164" w:rsidR="001806F1" w:rsidRPr="00C91982" w:rsidRDefault="00CA0F13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 w:rsidRPr="00CA0F13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The likelihood that a country will repay its debt and the chance of default increase with the debt-to-GDP ratio, which might spark a financial meltdown in both domestic and global markets.</w:t>
            </w:r>
          </w:p>
        </w:tc>
      </w:tr>
      <w:tr w:rsidR="00CA0F13" w:rsidRPr="00393B67" w14:paraId="2C810C24" w14:textId="77777777" w:rsidTr="00CA0F13">
        <w:trPr>
          <w:cantSplit/>
          <w:trHeight w:val="864"/>
          <w:jc w:val="center"/>
        </w:trPr>
        <w:tc>
          <w:tcPr>
            <w:tcW w:w="1467" w:type="dxa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35BD6074" w14:textId="7F8EBB15" w:rsidR="001806F1" w:rsidRPr="00393B67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230B3"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Credit Rating</w:t>
            </w:r>
          </w:p>
        </w:tc>
        <w:tc>
          <w:tcPr>
            <w:tcW w:w="1533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3D2A037B" w14:textId="61318F53" w:rsidR="001806F1" w:rsidRPr="00393B67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 xml:space="preserve">An </w:t>
            </w:r>
            <w:r w:rsidRPr="00B230B3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 xml:space="preserve">estimate of the ability of an entity to fulfill its financial commitments. </w:t>
            </w:r>
          </w:p>
        </w:tc>
        <w:tc>
          <w:tcPr>
            <w:tcW w:w="1239" w:type="dxa"/>
            <w:tcMar>
              <w:left w:w="144" w:type="dxa"/>
              <w:right w:w="144" w:type="dxa"/>
            </w:tcMar>
            <w:vAlign w:val="center"/>
          </w:tcPr>
          <w:p w14:paraId="0FD44826" w14:textId="29BE57CE" w:rsidR="001806F1" w:rsidRPr="00FF5C49" w:rsidRDefault="00FF5C49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FF5C49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A (positive outlook)</w:t>
            </w:r>
          </w:p>
        </w:tc>
        <w:tc>
          <w:tcPr>
            <w:tcW w:w="1596" w:type="dxa"/>
            <w:tcMar>
              <w:left w:w="144" w:type="dxa"/>
              <w:right w:w="144" w:type="dxa"/>
            </w:tcMar>
            <w:vAlign w:val="center"/>
          </w:tcPr>
          <w:p w14:paraId="576AD2F5" w14:textId="77777777" w:rsidR="001806F1" w:rsidRPr="00FF5C49" w:rsidRDefault="00FF5C49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FF5C49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April 14, 22 (A)</w:t>
            </w:r>
          </w:p>
          <w:p w14:paraId="1C6BF9A2" w14:textId="11918EED" w:rsidR="00FF5C49" w:rsidRPr="00FF5C49" w:rsidRDefault="00FF5C49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FF5C49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March 25, 22 (A-)</w:t>
            </w:r>
          </w:p>
          <w:p w14:paraId="69676959" w14:textId="77777777" w:rsidR="00FF5C49" w:rsidRPr="00FF5C49" w:rsidRDefault="00FF5C49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FF5C49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Nov 5, 21 (A1)</w:t>
            </w:r>
          </w:p>
          <w:p w14:paraId="5DE091B3" w14:textId="1CFF674C" w:rsidR="00FF5C49" w:rsidRPr="00FF5C49" w:rsidRDefault="00FF5C49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FF5C49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July 15, 21 (A) </w:t>
            </w:r>
          </w:p>
        </w:tc>
        <w:tc>
          <w:tcPr>
            <w:tcW w:w="1890" w:type="dxa"/>
            <w:tcMar>
              <w:left w:w="144" w:type="dxa"/>
              <w:right w:w="144" w:type="dxa"/>
            </w:tcMar>
            <w:vAlign w:val="center"/>
          </w:tcPr>
          <w:p w14:paraId="66365C4A" w14:textId="2C961767" w:rsidR="001806F1" w:rsidRPr="00FF5C49" w:rsidRDefault="00FF5C49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FF5C49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Yes- Anything in the A-class is regarded as excellent quality, which indicates that there is a very good chance the debt issuer will be able to pay its debts.</w:t>
            </w:r>
          </w:p>
          <w:p w14:paraId="0B426D34" w14:textId="513DDE9A" w:rsidR="001806F1" w:rsidRPr="00FF5C49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144" w:type="dxa"/>
              <w:right w:w="144" w:type="dxa"/>
            </w:tcMar>
            <w:vAlign w:val="center"/>
          </w:tcPr>
          <w:p w14:paraId="0E6409F5" w14:textId="6F62FAB9" w:rsidR="001806F1" w:rsidRPr="00A607DC" w:rsidRDefault="00CA0F13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A607DC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B (stable outlook)</w:t>
            </w:r>
          </w:p>
        </w:tc>
        <w:tc>
          <w:tcPr>
            <w:tcW w:w="1710" w:type="dxa"/>
            <w:tcMar>
              <w:left w:w="144" w:type="dxa"/>
              <w:right w:w="144" w:type="dxa"/>
            </w:tcMar>
            <w:vAlign w:val="center"/>
          </w:tcPr>
          <w:p w14:paraId="2EDEB9F9" w14:textId="39733A58" w:rsidR="001806F1" w:rsidRPr="00A607DC" w:rsidRDefault="00A607DC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A607DC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Standard &amp; Poor's has assigned Turkey a B credit rating which reflects a stable outlook. B3 with a stable outlook that Moody's most recently assigned to Turkey. Turkey's credit rating was assigned a B by Fitch which reflects a bad outlook. Turkey's credit rating from DBRS is BB (high) with something like a negative outlook.</w:t>
            </w:r>
          </w:p>
        </w:tc>
        <w:tc>
          <w:tcPr>
            <w:tcW w:w="1979" w:type="dxa"/>
            <w:tcBorders>
              <w:right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07F0B98F" w14:textId="74FD2CAC" w:rsidR="001806F1" w:rsidRPr="006334F5" w:rsidRDefault="00130B95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No- </w:t>
            </w:r>
            <w:r w:rsidRPr="00130B9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B' ratings show that there is a considerable default risk, but there is still some room for safety.</w:t>
            </w:r>
          </w:p>
          <w:p w14:paraId="31914140" w14:textId="4D91AA90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419A4" w:rsidRPr="00393B67" w14:paraId="639D2195" w14:textId="77777777" w:rsidTr="00CA0F13">
        <w:trPr>
          <w:cantSplit/>
          <w:trHeight w:val="864"/>
          <w:jc w:val="center"/>
        </w:trPr>
        <w:tc>
          <w:tcPr>
            <w:tcW w:w="1467" w:type="dxa"/>
            <w:tcBorders>
              <w:top w:val="single" w:sz="6" w:space="0" w:color="FFFFFF" w:themeColor="background1"/>
              <w:left w:val="single" w:sz="12" w:space="0" w:color="auto"/>
              <w:bottom w:val="single" w:sz="12" w:space="0" w:color="auto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47A4C85A" w14:textId="49E6B69B" w:rsidR="004419A4" w:rsidRPr="00393B67" w:rsidRDefault="004419A4" w:rsidP="004419A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230B3"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Corporate Tax Rate</w:t>
            </w:r>
          </w:p>
        </w:tc>
        <w:tc>
          <w:tcPr>
            <w:tcW w:w="153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3792C55D" w14:textId="77777777" w:rsidR="004419A4" w:rsidRDefault="004419A4" w:rsidP="004419A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  <w:p w14:paraId="79D8AAAD" w14:textId="18834520" w:rsidR="004419A4" w:rsidRDefault="004419A4" w:rsidP="004419A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  <w:r w:rsidRPr="00B230B3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Tax rate for Corporations.</w:t>
            </w:r>
          </w:p>
          <w:p w14:paraId="17A6FCF7" w14:textId="05A80812" w:rsidR="004419A4" w:rsidRPr="00393B67" w:rsidRDefault="004419A4" w:rsidP="004419A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39" w:type="dxa"/>
            <w:tcBorders>
              <w:bottom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7BD7BED7" w14:textId="13820ABE" w:rsidR="004419A4" w:rsidRDefault="004419A4" w:rsidP="004419A4">
            <w:pPr>
              <w:rPr>
                <w:rFonts w:ascii="Arial" w:hAnsi="Arial" w:cs="Arial"/>
                <w:sz w:val="18"/>
              </w:rPr>
            </w:pPr>
            <w:r w:rsidRPr="00FF5C49">
              <w:rPr>
                <w:rFonts w:ascii="Arial" w:hAnsi="Arial" w:cs="Arial"/>
                <w:sz w:val="18"/>
              </w:rPr>
              <w:t>From 1999 to 2022, Saudi Arabia's corporate tax rate averaged 23.54</w:t>
            </w:r>
            <w:r w:rsidR="004F2678">
              <w:rPr>
                <w:rFonts w:ascii="Arial" w:hAnsi="Arial" w:cs="Arial"/>
                <w:sz w:val="18"/>
              </w:rPr>
              <w:t>%</w:t>
            </w:r>
            <w:r w:rsidRPr="00FF5C49">
              <w:rPr>
                <w:rFonts w:ascii="Arial" w:hAnsi="Arial" w:cs="Arial"/>
                <w:sz w:val="18"/>
              </w:rPr>
              <w:t xml:space="preserve">, with </w:t>
            </w:r>
            <w:r w:rsidR="004F2678">
              <w:rPr>
                <w:rFonts w:ascii="Arial" w:hAnsi="Arial" w:cs="Arial"/>
                <w:sz w:val="18"/>
              </w:rPr>
              <w:t xml:space="preserve">peak of 45 percent in 1999 and lows of 20% </w:t>
            </w:r>
            <w:r w:rsidRPr="00FF5C49">
              <w:rPr>
                <w:rFonts w:ascii="Arial" w:hAnsi="Arial" w:cs="Arial"/>
                <w:sz w:val="18"/>
              </w:rPr>
              <w:t xml:space="preserve">in </w:t>
            </w:r>
            <w:r w:rsidR="004F2678">
              <w:rPr>
                <w:rFonts w:ascii="Arial" w:hAnsi="Arial" w:cs="Arial"/>
                <w:sz w:val="18"/>
              </w:rPr>
              <w:t xml:space="preserve">year </w:t>
            </w:r>
            <w:r w:rsidRPr="00FF5C49">
              <w:rPr>
                <w:rFonts w:ascii="Arial" w:hAnsi="Arial" w:cs="Arial"/>
                <w:sz w:val="18"/>
              </w:rPr>
              <w:t>2006.</w:t>
            </w:r>
          </w:p>
          <w:p w14:paraId="2B0F993A" w14:textId="77777777" w:rsidR="004419A4" w:rsidRDefault="004419A4" w:rsidP="004419A4">
            <w:pPr>
              <w:rPr>
                <w:rFonts w:ascii="Arial" w:hAnsi="Arial" w:cs="Arial"/>
                <w:sz w:val="18"/>
              </w:rPr>
            </w:pPr>
          </w:p>
          <w:p w14:paraId="3B4DDBBD" w14:textId="0EDBBCA6" w:rsidR="004419A4" w:rsidRPr="00FF5C49" w:rsidRDefault="004419A4" w:rsidP="004419A4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Yearly </w:t>
            </w:r>
          </w:p>
        </w:tc>
        <w:tc>
          <w:tcPr>
            <w:tcW w:w="1596" w:type="dxa"/>
            <w:tcBorders>
              <w:bottom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038EA18F" w14:textId="77777777" w:rsidR="004419A4" w:rsidRDefault="004419A4" w:rsidP="004419A4">
            <w:pPr>
              <w:rPr>
                <w:rFonts w:ascii="Arial" w:hAnsi="Arial" w:cs="Arial"/>
                <w:sz w:val="18"/>
              </w:rPr>
            </w:pPr>
            <w:r w:rsidRPr="00FF5C49">
              <w:rPr>
                <w:rFonts w:ascii="Arial" w:hAnsi="Arial" w:cs="Arial"/>
                <w:sz w:val="18"/>
              </w:rPr>
              <w:t>20% corporate income tax rate in Saudi Arabia.</w:t>
            </w:r>
          </w:p>
          <w:p w14:paraId="34F3A805" w14:textId="63139F01" w:rsidR="004419A4" w:rsidRPr="00C91982" w:rsidRDefault="004419A4" w:rsidP="004419A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 xml:space="preserve">(2005 onwards) </w:t>
            </w:r>
          </w:p>
        </w:tc>
        <w:tc>
          <w:tcPr>
            <w:tcW w:w="1890" w:type="dxa"/>
            <w:tcBorders>
              <w:bottom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0A64F0BB" w14:textId="5EACDB2F" w:rsidR="004419A4" w:rsidRPr="006334F5" w:rsidRDefault="004419A4" w:rsidP="004419A4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- it could help in generating public </w:t>
            </w:r>
            <w:proofErr w:type="gramStart"/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revenues, and</w:t>
            </w:r>
            <w:proofErr w:type="gramEnd"/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increase investments and provision of services. </w:t>
            </w:r>
          </w:p>
          <w:p w14:paraId="7A6A7061" w14:textId="68493060" w:rsidR="004419A4" w:rsidRPr="00C91982" w:rsidRDefault="004419A4" w:rsidP="004419A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60663D43" w14:textId="107998FD" w:rsidR="004419A4" w:rsidRPr="004419A4" w:rsidRDefault="004419A4" w:rsidP="004419A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4419A4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Between 1997 and 2022, Turkey's corporate tax rate averaged 24.46 percent, with record highs of 33 percent in 2000 and 20 percent in 2006.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0F3DEE50" w14:textId="77777777" w:rsidR="004419A4" w:rsidRDefault="004419A4" w:rsidP="004419A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4419A4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Turkish corporations pay a 23 percent corporate tax rate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 xml:space="preserve"> (2022)</w:t>
            </w:r>
          </w:p>
          <w:p w14:paraId="10DE79A9" w14:textId="77777777" w:rsidR="004419A4" w:rsidRDefault="004419A4" w:rsidP="004419A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</w:p>
          <w:p w14:paraId="0E941085" w14:textId="77777777" w:rsidR="004419A4" w:rsidRDefault="004419A4" w:rsidP="004419A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25% (2021)</w:t>
            </w:r>
          </w:p>
          <w:p w14:paraId="49AAC01A" w14:textId="77777777" w:rsidR="004419A4" w:rsidRDefault="004419A4" w:rsidP="004419A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</w:p>
          <w:p w14:paraId="4D490F47" w14:textId="4567588A" w:rsidR="004419A4" w:rsidRPr="00C91982" w:rsidRDefault="004805B5" w:rsidP="004419A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22% (2018-2020)</w:t>
            </w:r>
          </w:p>
        </w:tc>
        <w:tc>
          <w:tcPr>
            <w:tcW w:w="1979" w:type="dxa"/>
            <w:tcBorders>
              <w:bottom w:val="single" w:sz="12" w:space="0" w:color="auto"/>
              <w:right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14:paraId="01B1F447" w14:textId="0D9B4C11" w:rsidR="004419A4" w:rsidRPr="006334F5" w:rsidRDefault="004419A4" w:rsidP="004419A4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No- </w:t>
            </w:r>
            <w:r w:rsidR="00DB3A2A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It </w:t>
            </w:r>
            <w:r w:rsidRPr="004419A4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will eventually lower national saving and increase interest rates.</w:t>
            </w:r>
          </w:p>
          <w:p w14:paraId="4C29332D" w14:textId="5AD1B973" w:rsidR="004419A4" w:rsidRPr="00C91982" w:rsidRDefault="004419A4" w:rsidP="004419A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0D17E00" w14:textId="77777777" w:rsidR="00CC737B" w:rsidRDefault="00CC737B" w:rsidP="00262A17">
      <w:pPr>
        <w:widowControl w:val="0"/>
        <w:autoSpaceDE w:val="0"/>
        <w:autoSpaceDN w:val="0"/>
        <w:adjustRightInd w:val="0"/>
        <w:spacing w:before="240" w:after="240"/>
        <w:rPr>
          <w:rFonts w:ascii="Arial" w:eastAsiaTheme="minorHAnsi" w:hAnsi="Arial" w:cs="Arial"/>
          <w:b/>
          <w:bCs/>
          <w:color w:val="800000"/>
          <w:sz w:val="56"/>
          <w:szCs w:val="36"/>
          <w:bdr w:val="single" w:sz="4" w:space="0" w:color="auto"/>
          <w:shd w:val="clear" w:color="auto" w:fill="F2F2F2" w:themeFill="background1" w:themeFillShade="F2"/>
        </w:rPr>
      </w:pPr>
    </w:p>
    <w:p w14:paraId="31C76F62" w14:textId="77777777" w:rsidR="00CC737B" w:rsidRDefault="00CC737B" w:rsidP="00262A17">
      <w:pPr>
        <w:widowControl w:val="0"/>
        <w:autoSpaceDE w:val="0"/>
        <w:autoSpaceDN w:val="0"/>
        <w:adjustRightInd w:val="0"/>
        <w:spacing w:before="240" w:after="240"/>
        <w:rPr>
          <w:rFonts w:ascii="Arial" w:eastAsiaTheme="minorHAnsi" w:hAnsi="Arial" w:cs="Arial"/>
          <w:b/>
          <w:bCs/>
          <w:color w:val="800000"/>
          <w:sz w:val="56"/>
          <w:szCs w:val="36"/>
          <w:bdr w:val="single" w:sz="4" w:space="0" w:color="auto"/>
          <w:shd w:val="clear" w:color="auto" w:fill="F2F2F2" w:themeFill="background1" w:themeFillShade="F2"/>
        </w:rPr>
      </w:pPr>
    </w:p>
    <w:p w14:paraId="2A06FA60" w14:textId="77777777" w:rsidR="00CC737B" w:rsidRDefault="00CC737B" w:rsidP="00262A17">
      <w:pPr>
        <w:widowControl w:val="0"/>
        <w:autoSpaceDE w:val="0"/>
        <w:autoSpaceDN w:val="0"/>
        <w:adjustRightInd w:val="0"/>
        <w:spacing w:before="240" w:after="240"/>
        <w:rPr>
          <w:rFonts w:ascii="Arial" w:eastAsiaTheme="minorHAnsi" w:hAnsi="Arial" w:cs="Arial"/>
          <w:b/>
          <w:bCs/>
          <w:color w:val="800000"/>
          <w:sz w:val="56"/>
          <w:szCs w:val="36"/>
          <w:bdr w:val="single" w:sz="4" w:space="0" w:color="auto"/>
          <w:shd w:val="clear" w:color="auto" w:fill="F2F2F2" w:themeFill="background1" w:themeFillShade="F2"/>
        </w:rPr>
      </w:pPr>
    </w:p>
    <w:p w14:paraId="2A7A3A3B" w14:textId="77777777" w:rsidR="00CC737B" w:rsidRDefault="00CC737B" w:rsidP="00262A17">
      <w:pPr>
        <w:widowControl w:val="0"/>
        <w:autoSpaceDE w:val="0"/>
        <w:autoSpaceDN w:val="0"/>
        <w:adjustRightInd w:val="0"/>
        <w:spacing w:before="240" w:after="240"/>
        <w:rPr>
          <w:rFonts w:ascii="Arial" w:eastAsiaTheme="minorHAnsi" w:hAnsi="Arial" w:cs="Arial"/>
          <w:b/>
          <w:bCs/>
          <w:color w:val="800000"/>
          <w:sz w:val="56"/>
          <w:szCs w:val="36"/>
          <w:bdr w:val="single" w:sz="4" w:space="0" w:color="auto"/>
          <w:shd w:val="clear" w:color="auto" w:fill="F2F2F2" w:themeFill="background1" w:themeFillShade="F2"/>
        </w:rPr>
      </w:pPr>
    </w:p>
    <w:p w14:paraId="073EC3A6" w14:textId="77777777" w:rsidR="00CC737B" w:rsidRDefault="00CC737B" w:rsidP="00262A17">
      <w:pPr>
        <w:widowControl w:val="0"/>
        <w:autoSpaceDE w:val="0"/>
        <w:autoSpaceDN w:val="0"/>
        <w:adjustRightInd w:val="0"/>
        <w:spacing w:before="240" w:after="240"/>
        <w:rPr>
          <w:rFonts w:ascii="Arial" w:eastAsiaTheme="minorHAnsi" w:hAnsi="Arial" w:cs="Arial"/>
          <w:b/>
          <w:bCs/>
          <w:color w:val="800000"/>
          <w:sz w:val="56"/>
          <w:szCs w:val="36"/>
          <w:bdr w:val="single" w:sz="4" w:space="0" w:color="auto"/>
          <w:shd w:val="clear" w:color="auto" w:fill="F2F2F2" w:themeFill="background1" w:themeFillShade="F2"/>
        </w:rPr>
      </w:pPr>
    </w:p>
    <w:p w14:paraId="7370A3B2" w14:textId="2E18C4B3" w:rsidR="00FA3F3F" w:rsidRPr="00B230B3" w:rsidRDefault="00373147" w:rsidP="00262A17">
      <w:pPr>
        <w:widowControl w:val="0"/>
        <w:autoSpaceDE w:val="0"/>
        <w:autoSpaceDN w:val="0"/>
        <w:adjustRightInd w:val="0"/>
        <w:spacing w:before="240" w:after="240"/>
        <w:rPr>
          <w:rStyle w:val="Hyperlink"/>
          <w:rFonts w:ascii="Arial" w:eastAsiaTheme="minorHAnsi" w:hAnsi="Arial" w:cs="Arial"/>
          <w:b/>
          <w:color w:val="7F7F7F" w:themeColor="text1" w:themeTint="80"/>
          <w:sz w:val="20"/>
          <w:szCs w:val="22"/>
        </w:rPr>
      </w:pPr>
      <w:r w:rsidRPr="00B7056D">
        <w:rPr>
          <w:rFonts w:ascii="Arial" w:eastAsiaTheme="minorHAnsi" w:hAnsi="Arial" w:cs="Arial"/>
          <w:b/>
          <w:bCs/>
          <w:color w:val="800000"/>
          <w:sz w:val="56"/>
          <w:szCs w:val="36"/>
          <w:bdr w:val="single" w:sz="4" w:space="0" w:color="auto"/>
          <w:shd w:val="clear" w:color="auto" w:fill="F2F2F2" w:themeFill="background1" w:themeFillShade="F2"/>
        </w:rPr>
        <w:lastRenderedPageBreak/>
        <w:t>E</w:t>
      </w:r>
      <w:r w:rsidR="00393B67" w:rsidRPr="00B7056D">
        <w:rPr>
          <w:rFonts w:ascii="Arial" w:eastAsiaTheme="minorHAnsi" w:hAnsi="Arial" w:cs="Arial"/>
          <w:b/>
          <w:bCs/>
          <w:color w:val="7F7F7F" w:themeColor="text1" w:themeTint="80"/>
          <w:sz w:val="32"/>
          <w:szCs w:val="36"/>
        </w:rPr>
        <w:t xml:space="preserve"> </w:t>
      </w:r>
      <w:r w:rsidR="00B230B3" w:rsidRPr="00B7056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6"/>
        </w:rPr>
        <w:t xml:space="preserve">= </w:t>
      </w:r>
      <w:r w:rsidRPr="00B7056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6"/>
        </w:rPr>
        <w:t>External Balances &amp; Exchange Rates</w:t>
      </w:r>
      <w:r w:rsidR="00B230B3" w:rsidRPr="00B7056D">
        <w:rPr>
          <w:rFonts w:ascii="Arial" w:eastAsiaTheme="minorHAnsi" w:hAnsi="Arial" w:cs="Arial"/>
          <w:b/>
          <w:bCs/>
          <w:color w:val="262626" w:themeColor="text1" w:themeTint="D9"/>
          <w:sz w:val="32"/>
          <w:szCs w:val="36"/>
        </w:rPr>
        <w:t xml:space="preserve"> </w:t>
      </w:r>
      <w:r w:rsidR="00B7056D">
        <w:rPr>
          <w:rFonts w:ascii="Arial" w:eastAsiaTheme="minorHAnsi" w:hAnsi="Arial" w:cs="Arial"/>
          <w:b/>
          <w:color w:val="262626" w:themeColor="text1" w:themeTint="D9"/>
          <w:sz w:val="20"/>
          <w:szCs w:val="22"/>
        </w:rPr>
        <w:tab/>
      </w:r>
      <w:r w:rsidR="00B7056D">
        <w:rPr>
          <w:rFonts w:ascii="Arial" w:eastAsiaTheme="minorHAnsi" w:hAnsi="Arial" w:cs="Arial"/>
          <w:b/>
          <w:color w:val="262626" w:themeColor="text1" w:themeTint="D9"/>
          <w:sz w:val="20"/>
          <w:szCs w:val="22"/>
        </w:rPr>
        <w:tab/>
      </w:r>
      <w:r w:rsidR="00FA3F3F" w:rsidRPr="00B230B3">
        <w:rPr>
          <w:rFonts w:ascii="Arial" w:eastAsiaTheme="minorHAnsi" w:hAnsi="Arial" w:cs="Arial"/>
          <w:b/>
          <w:color w:val="262626" w:themeColor="text1" w:themeTint="D9"/>
          <w:sz w:val="20"/>
          <w:szCs w:val="22"/>
        </w:rPr>
        <w:t xml:space="preserve">Click here to access the </w:t>
      </w:r>
      <w:hyperlink r:id="rId12" w:tooltip="tradingeconomics.com" w:history="1">
        <w:r w:rsidR="00FA3F3F" w:rsidRPr="00B230B3">
          <w:rPr>
            <w:rStyle w:val="Hyperlink"/>
            <w:rFonts w:ascii="Arial" w:eastAsiaTheme="minorHAnsi" w:hAnsi="Arial" w:cs="Arial"/>
            <w:b/>
            <w:color w:val="262626" w:themeColor="text1" w:themeTint="D9"/>
            <w:sz w:val="20"/>
            <w:szCs w:val="22"/>
          </w:rPr>
          <w:t>Trading Economics website</w:t>
        </w:r>
      </w:hyperlink>
    </w:p>
    <w:tbl>
      <w:tblPr>
        <w:tblStyle w:val="TableGrid"/>
        <w:tblW w:w="13764" w:type="dxa"/>
        <w:jc w:val="center"/>
        <w:tblBorders>
          <w:top w:val="single" w:sz="18" w:space="0" w:color="434549"/>
          <w:left w:val="single" w:sz="18" w:space="0" w:color="434549"/>
          <w:bottom w:val="single" w:sz="18" w:space="0" w:color="434549"/>
          <w:right w:val="single" w:sz="18" w:space="0" w:color="434549"/>
          <w:insideH w:val="single" w:sz="6" w:space="0" w:color="434549"/>
          <w:insideV w:val="single" w:sz="6" w:space="0" w:color="434549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386"/>
        <w:gridCol w:w="1561"/>
        <w:gridCol w:w="2340"/>
        <w:gridCol w:w="2289"/>
        <w:gridCol w:w="1512"/>
        <w:gridCol w:w="10"/>
        <w:gridCol w:w="1499"/>
        <w:gridCol w:w="1626"/>
        <w:gridCol w:w="1531"/>
        <w:gridCol w:w="10"/>
      </w:tblGrid>
      <w:tr w:rsidR="00AB1A13" w:rsidRPr="00393B67" w14:paraId="0BB8E377" w14:textId="77777777" w:rsidTr="006040D5">
        <w:trPr>
          <w:cantSplit/>
          <w:trHeight w:val="240"/>
          <w:jc w:val="center"/>
        </w:trPr>
        <w:tc>
          <w:tcPr>
            <w:tcW w:w="1386" w:type="dxa"/>
            <w:vMerge w:val="restart"/>
            <w:tcBorders>
              <w:top w:val="single" w:sz="18" w:space="0" w:color="434549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4344DCAC" w14:textId="77777777" w:rsidR="00AB1A13" w:rsidRPr="00B230B3" w:rsidRDefault="00AB1A13" w:rsidP="002647F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230B3"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  <w:t>Indicator</w:t>
            </w:r>
          </w:p>
        </w:tc>
        <w:tc>
          <w:tcPr>
            <w:tcW w:w="1561" w:type="dxa"/>
            <w:vMerge w:val="restart"/>
            <w:tcBorders>
              <w:top w:val="single" w:sz="18" w:space="0" w:color="434549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43D299D0" w14:textId="77777777" w:rsidR="00AB1A13" w:rsidRPr="00B230B3" w:rsidRDefault="00AB1A13" w:rsidP="002647F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230B3"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  <w:t>Meaning</w:t>
            </w:r>
          </w:p>
        </w:tc>
        <w:tc>
          <w:tcPr>
            <w:tcW w:w="6151" w:type="dxa"/>
            <w:gridSpan w:val="4"/>
            <w:tcBorders>
              <w:top w:val="single" w:sz="18" w:space="0" w:color="434549"/>
              <w:left w:val="nil"/>
            </w:tcBorders>
            <w:vAlign w:val="center"/>
          </w:tcPr>
          <w:p w14:paraId="235DA938" w14:textId="26929CDF" w:rsidR="00AB1A13" w:rsidRPr="00C91982" w:rsidRDefault="00AB1A13" w:rsidP="002647F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91982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Country: </w:t>
            </w:r>
            <w:r w:rsidR="005A3C54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Saudi Arabia </w:t>
            </w:r>
          </w:p>
        </w:tc>
        <w:tc>
          <w:tcPr>
            <w:tcW w:w="4666" w:type="dxa"/>
            <w:gridSpan w:val="4"/>
            <w:tcBorders>
              <w:top w:val="single" w:sz="18" w:space="0" w:color="434549"/>
            </w:tcBorders>
            <w:vAlign w:val="center"/>
          </w:tcPr>
          <w:p w14:paraId="292857B1" w14:textId="76388F7C" w:rsidR="00AB1A13" w:rsidRPr="00C91982" w:rsidRDefault="00AB1A13" w:rsidP="002647F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91982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Country: </w:t>
            </w:r>
          </w:p>
        </w:tc>
      </w:tr>
      <w:tr w:rsidR="009146E5" w:rsidRPr="00393B67" w14:paraId="4CF67C27" w14:textId="77777777" w:rsidTr="001A415C">
        <w:trPr>
          <w:gridAfter w:val="1"/>
          <w:wAfter w:w="10" w:type="dxa"/>
          <w:cantSplit/>
          <w:trHeight w:val="240"/>
          <w:jc w:val="center"/>
        </w:trPr>
        <w:tc>
          <w:tcPr>
            <w:tcW w:w="1386" w:type="dxa"/>
            <w:vMerge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1BCE3410" w14:textId="77777777" w:rsidR="009146E5" w:rsidRPr="00B230B3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50B00023" w14:textId="77777777" w:rsidR="009146E5" w:rsidRPr="00B230B3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nil"/>
            </w:tcBorders>
            <w:vAlign w:val="center"/>
          </w:tcPr>
          <w:p w14:paraId="5AF48F1A" w14:textId="77777777" w:rsidR="009146E5" w:rsidRPr="006334F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-662" w:firstLine="662"/>
              <w:contextualSpacing w:val="0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Latest Entry &amp;</w:t>
            </w:r>
          </w:p>
          <w:p w14:paraId="68ABC5D2" w14:textId="7322B534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Frequency</w:t>
            </w:r>
          </w:p>
        </w:tc>
        <w:tc>
          <w:tcPr>
            <w:tcW w:w="2289" w:type="dxa"/>
            <w:vAlign w:val="center"/>
          </w:tcPr>
          <w:p w14:paraId="20D0E5C1" w14:textId="07AA404F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Trend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– with explanation</w:t>
            </w:r>
          </w:p>
        </w:tc>
        <w:tc>
          <w:tcPr>
            <w:tcW w:w="1512" w:type="dxa"/>
            <w:vAlign w:val="center"/>
          </w:tcPr>
          <w:p w14:paraId="090AD623" w14:textId="299A2B0B" w:rsidR="009146E5" w:rsidRPr="00C91982" w:rsidRDefault="009C4E79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Healthy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Trend </w:t>
            </w: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(Y/N)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&amp; </w:t>
            </w:r>
            <w:proofErr w:type="gramStart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Why</w:t>
            </w:r>
            <w:proofErr w:type="gramEnd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?   </w:t>
            </w:r>
          </w:p>
        </w:tc>
        <w:tc>
          <w:tcPr>
            <w:tcW w:w="1509" w:type="dxa"/>
            <w:gridSpan w:val="2"/>
            <w:vAlign w:val="center"/>
          </w:tcPr>
          <w:p w14:paraId="7FC5B8F4" w14:textId="491ECB84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Latest Entry </w:t>
            </w:r>
            <w:r w:rsidRPr="00003C84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&amp;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03C84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Frequency</w:t>
            </w:r>
          </w:p>
        </w:tc>
        <w:tc>
          <w:tcPr>
            <w:tcW w:w="1626" w:type="dxa"/>
            <w:vAlign w:val="center"/>
          </w:tcPr>
          <w:p w14:paraId="5F556A57" w14:textId="49D4815C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Trend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– with explanation</w:t>
            </w:r>
          </w:p>
        </w:tc>
        <w:tc>
          <w:tcPr>
            <w:tcW w:w="1531" w:type="dxa"/>
            <w:vAlign w:val="center"/>
          </w:tcPr>
          <w:p w14:paraId="6ADD75A0" w14:textId="21DA45AF" w:rsidR="009146E5" w:rsidRPr="00C91982" w:rsidRDefault="009C4E79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Healthy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Trend </w:t>
            </w: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(Y/N)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&amp; </w:t>
            </w:r>
            <w:proofErr w:type="gramStart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Why</w:t>
            </w:r>
            <w:proofErr w:type="gramEnd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?   </w:t>
            </w:r>
          </w:p>
        </w:tc>
      </w:tr>
      <w:tr w:rsidR="001A415C" w:rsidRPr="00393B67" w14:paraId="3B2E1FF8" w14:textId="77777777" w:rsidTr="001A415C">
        <w:trPr>
          <w:gridAfter w:val="1"/>
          <w:wAfter w:w="10" w:type="dxa"/>
          <w:cantSplit/>
          <w:trHeight w:val="864"/>
          <w:jc w:val="center"/>
        </w:trPr>
        <w:tc>
          <w:tcPr>
            <w:tcW w:w="1386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56F3EAFA" w14:textId="4FA972A6" w:rsidR="001A415C" w:rsidRPr="00B230B3" w:rsidRDefault="001A415C" w:rsidP="001A415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230B3"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t>Currency</w:t>
            </w:r>
          </w:p>
        </w:tc>
        <w:tc>
          <w:tcPr>
            <w:tcW w:w="1561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7889BD88" w14:textId="77777777" w:rsidR="001A415C" w:rsidRPr="009E1CC3" w:rsidRDefault="001A415C" w:rsidP="001A415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18"/>
                <w:szCs w:val="20"/>
              </w:rPr>
            </w:pPr>
          </w:p>
          <w:p w14:paraId="6D722232" w14:textId="77777777" w:rsidR="001A415C" w:rsidRPr="009E1CC3" w:rsidRDefault="001A415C" w:rsidP="001A415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18"/>
                <w:szCs w:val="20"/>
              </w:rPr>
            </w:pPr>
            <w:r w:rsidRPr="009E1CC3">
              <w:rPr>
                <w:rFonts w:ascii="Arial" w:eastAsiaTheme="minorHAnsi" w:hAnsi="Arial" w:cs="Arial"/>
                <w:bCs/>
                <w:color w:val="FFFFFF" w:themeColor="background1"/>
                <w:sz w:val="18"/>
                <w:szCs w:val="20"/>
              </w:rPr>
              <w:t xml:space="preserve">A system of money. The value of the money changes over time. </w:t>
            </w:r>
          </w:p>
          <w:p w14:paraId="668A63AB" w14:textId="667D3BF5" w:rsidR="001A415C" w:rsidRPr="009E1CC3" w:rsidRDefault="001A415C" w:rsidP="001A415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18"/>
                <w:szCs w:val="20"/>
              </w:rPr>
            </w:pPr>
          </w:p>
        </w:tc>
        <w:tc>
          <w:tcPr>
            <w:tcW w:w="2340" w:type="dxa"/>
            <w:tcBorders>
              <w:left w:val="nil"/>
            </w:tcBorders>
            <w:tcMar>
              <w:left w:w="144" w:type="dxa"/>
              <w:right w:w="144" w:type="dxa"/>
            </w:tcMar>
            <w:vAlign w:val="center"/>
          </w:tcPr>
          <w:p w14:paraId="7F855433" w14:textId="5478D1E2" w:rsidR="001A415C" w:rsidRDefault="001A415C" w:rsidP="001A415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9E1CC3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 xml:space="preserve">On January 4, the 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USD SAR</w:t>
            </w:r>
            <w:r w:rsidRPr="009E1CC3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 xml:space="preserve"> traded at 3.7593.</w:t>
            </w:r>
          </w:p>
          <w:p w14:paraId="667C5684" w14:textId="77777777" w:rsidR="001A415C" w:rsidRDefault="001A415C" w:rsidP="001A415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</w:p>
          <w:p w14:paraId="38FD1DBF" w14:textId="028755A1" w:rsidR="001A415C" w:rsidRPr="009E1CC3" w:rsidRDefault="001A415C" w:rsidP="001A415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 xml:space="preserve">Daily </w:t>
            </w:r>
          </w:p>
        </w:tc>
        <w:tc>
          <w:tcPr>
            <w:tcW w:w="2289" w:type="dxa"/>
            <w:tcMar>
              <w:left w:w="144" w:type="dxa"/>
              <w:right w:w="144" w:type="dxa"/>
            </w:tcMar>
            <w:vAlign w:val="center"/>
          </w:tcPr>
          <w:p w14:paraId="7037F2F7" w14:textId="77777777" w:rsidR="00BB14F6" w:rsidRPr="006040D5" w:rsidRDefault="00BB14F6" w:rsidP="00BB14F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6040D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Sept 30, 2022</w:t>
            </w:r>
          </w:p>
          <w:p w14:paraId="2D70CE2A" w14:textId="77777777" w:rsidR="00BB14F6" w:rsidRPr="006040D5" w:rsidRDefault="00BB14F6" w:rsidP="00BB14F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6040D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(3.75 USD SAR)</w:t>
            </w:r>
          </w:p>
          <w:p w14:paraId="588B1BF9" w14:textId="77777777" w:rsidR="00BB14F6" w:rsidRPr="006040D5" w:rsidRDefault="00BB14F6" w:rsidP="00BB14F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6040D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Oct 31, 2022</w:t>
            </w:r>
          </w:p>
          <w:p w14:paraId="6BBCF9BE" w14:textId="77777777" w:rsidR="00BB14F6" w:rsidRPr="006040D5" w:rsidRDefault="00BB14F6" w:rsidP="00BB14F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6040D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(3.75 USD SAR)</w:t>
            </w:r>
          </w:p>
          <w:p w14:paraId="310F5B4D" w14:textId="77777777" w:rsidR="00BB14F6" w:rsidRPr="006040D5" w:rsidRDefault="00BB14F6" w:rsidP="00BB14F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6040D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Nov 31, 2022</w:t>
            </w:r>
          </w:p>
          <w:p w14:paraId="4F8953A4" w14:textId="527038CE" w:rsidR="00BB14F6" w:rsidRDefault="00BB14F6" w:rsidP="00BB14F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6040D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(3.76 USD SAR)</w:t>
            </w:r>
          </w:p>
          <w:p w14:paraId="616AFEED" w14:textId="08593E43" w:rsidR="001A415C" w:rsidRPr="00BB14F6" w:rsidRDefault="001A415C" w:rsidP="00BB14F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6040D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Dec 31, 2022 (3.75 USD SAR)</w:t>
            </w:r>
          </w:p>
        </w:tc>
        <w:tc>
          <w:tcPr>
            <w:tcW w:w="1512" w:type="dxa"/>
            <w:tcMar>
              <w:left w:w="144" w:type="dxa"/>
              <w:right w:w="144" w:type="dxa"/>
            </w:tcMar>
            <w:vAlign w:val="center"/>
          </w:tcPr>
          <w:p w14:paraId="53B1CDCF" w14:textId="41689134" w:rsidR="001A415C" w:rsidRPr="00C91982" w:rsidRDefault="004F2678" w:rsidP="001A415C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 w:rsidRPr="004F2678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Yes, it shows the stability of the currency. It lowers the unpredictability of inflation, which then in turn lowers price changes and interest rates and motivates people to invest.</w:t>
            </w:r>
          </w:p>
        </w:tc>
        <w:tc>
          <w:tcPr>
            <w:tcW w:w="1509" w:type="dxa"/>
            <w:gridSpan w:val="2"/>
            <w:tcMar>
              <w:left w:w="144" w:type="dxa"/>
              <w:right w:w="144" w:type="dxa"/>
            </w:tcMar>
            <w:vAlign w:val="center"/>
          </w:tcPr>
          <w:p w14:paraId="5F4A480A" w14:textId="77777777" w:rsidR="001A415C" w:rsidRPr="0042243A" w:rsidRDefault="001A415C" w:rsidP="001A415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42243A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In October 2022, the Turkish Lira achieved an all-time high of 19.28.</w:t>
            </w:r>
          </w:p>
          <w:p w14:paraId="6607B619" w14:textId="77777777" w:rsidR="001A415C" w:rsidRPr="0042243A" w:rsidRDefault="001A415C" w:rsidP="001A415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</w:p>
          <w:p w14:paraId="673171D0" w14:textId="196FA24C" w:rsidR="001A415C" w:rsidRPr="00C91982" w:rsidRDefault="001A415C" w:rsidP="001A415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 w:rsidRPr="0042243A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 xml:space="preserve">Monthly </w:t>
            </w:r>
          </w:p>
        </w:tc>
        <w:tc>
          <w:tcPr>
            <w:tcW w:w="1626" w:type="dxa"/>
            <w:tcMar>
              <w:left w:w="144" w:type="dxa"/>
              <w:right w:w="144" w:type="dxa"/>
            </w:tcMar>
            <w:vAlign w:val="center"/>
          </w:tcPr>
          <w:p w14:paraId="5A5F045C" w14:textId="627F2492" w:rsidR="00BB14F6" w:rsidRDefault="00BB14F6" w:rsidP="001A415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 xml:space="preserve">Sept 30, 2022 (18.5 </w:t>
            </w:r>
            <w:r w:rsidRPr="001A415C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USD/TRY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)</w:t>
            </w:r>
          </w:p>
          <w:p w14:paraId="34437EDC" w14:textId="77777777" w:rsidR="00BB14F6" w:rsidRDefault="00BB14F6" w:rsidP="00BB14F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 xml:space="preserve">Oct 31, 2022 (18.6 </w:t>
            </w:r>
            <w:r w:rsidRPr="001A415C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USD/TRY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)</w:t>
            </w:r>
          </w:p>
          <w:p w14:paraId="7E67784D" w14:textId="5E61367D" w:rsidR="00BB14F6" w:rsidRDefault="00BB14F6" w:rsidP="00BB14F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Nov 30, 2022 (18.6 U</w:t>
            </w:r>
            <w:r w:rsidRPr="001A415C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SD/TRY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)</w:t>
            </w:r>
          </w:p>
          <w:p w14:paraId="6EE81CD0" w14:textId="52743BCA" w:rsidR="001A415C" w:rsidRPr="00BB14F6" w:rsidRDefault="001A415C" w:rsidP="00BB14F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 xml:space="preserve">Dec 31, 2022 (18.6 </w:t>
            </w:r>
            <w:r w:rsidRPr="001A415C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USD/TRY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1531" w:type="dxa"/>
            <w:tcMar>
              <w:left w:w="144" w:type="dxa"/>
              <w:right w:w="144" w:type="dxa"/>
            </w:tcMar>
            <w:vAlign w:val="center"/>
          </w:tcPr>
          <w:p w14:paraId="186D7BAB" w14:textId="65B5D3D3" w:rsidR="001A415C" w:rsidRPr="00C91982" w:rsidRDefault="004F2678" w:rsidP="001A415C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 w:rsidRPr="004F2678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Yes, it shows the stability of the currency. It lowers the unpredictability of inflation, which then in turn lowers price changes and interest rates and motivates people to invest.</w:t>
            </w:r>
          </w:p>
        </w:tc>
      </w:tr>
      <w:tr w:rsidR="001A415C" w:rsidRPr="00393B67" w14:paraId="3838E859" w14:textId="77777777" w:rsidTr="001A415C">
        <w:trPr>
          <w:gridAfter w:val="1"/>
          <w:wAfter w:w="10" w:type="dxa"/>
          <w:cantSplit/>
          <w:trHeight w:val="864"/>
          <w:jc w:val="center"/>
        </w:trPr>
        <w:tc>
          <w:tcPr>
            <w:tcW w:w="1386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738D468E" w14:textId="70D6C50E" w:rsidR="001A415C" w:rsidRPr="00B230B3" w:rsidRDefault="001A415C" w:rsidP="001A415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230B3"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t>Imports</w:t>
            </w:r>
          </w:p>
        </w:tc>
        <w:tc>
          <w:tcPr>
            <w:tcW w:w="156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2B743D90" w14:textId="77777777" w:rsidR="001A415C" w:rsidRDefault="001A415C" w:rsidP="001A415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  <w:p w14:paraId="79A80F4C" w14:textId="77777777" w:rsidR="001A415C" w:rsidRDefault="001A415C" w:rsidP="001A415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  <w:p w14:paraId="256A7F2D" w14:textId="5C6AE44A" w:rsidR="001A415C" w:rsidRDefault="001A415C" w:rsidP="001A415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Amount of goods purchased by</w:t>
            </w:r>
            <w:r w:rsidRPr="00B230B3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 xml:space="preserve"> one country from another.</w:t>
            </w:r>
          </w:p>
          <w:p w14:paraId="4A9903EE" w14:textId="77777777" w:rsidR="001A415C" w:rsidRDefault="001A415C" w:rsidP="001A415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  <w:p w14:paraId="0DD8B125" w14:textId="47BAF7A9" w:rsidR="001A415C" w:rsidRPr="00B230B3" w:rsidRDefault="001A415C" w:rsidP="001A415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il"/>
            </w:tcBorders>
            <w:tcMar>
              <w:left w:w="144" w:type="dxa"/>
              <w:right w:w="144" w:type="dxa"/>
            </w:tcMar>
            <w:vAlign w:val="center"/>
          </w:tcPr>
          <w:p w14:paraId="11DCA521" w14:textId="31172C95" w:rsidR="001A415C" w:rsidRPr="006040D5" w:rsidRDefault="001A415C" w:rsidP="004F6A9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6040D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 xml:space="preserve">From 1968 to 2022, Saudi Arabia's imports increased by 74270.85 million SAR on average, with a </w:t>
            </w:r>
            <w:r w:rsidR="004F6A9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peak value</w:t>
            </w:r>
            <w:r w:rsidRPr="006040D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 xml:space="preserve"> of 222985.00 million SAR in December 2005 and a </w:t>
            </w:r>
            <w:proofErr w:type="gramStart"/>
            <w:r w:rsidRPr="006040D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low</w:t>
            </w:r>
            <w:r w:rsidR="004F6A9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s</w:t>
            </w:r>
            <w:r w:rsidRPr="006040D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 xml:space="preserve"> of 2578.00 million SAR in December 1968</w:t>
            </w:r>
            <w:proofErr w:type="gramEnd"/>
            <w:r w:rsidRPr="006040D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.</w:t>
            </w:r>
          </w:p>
        </w:tc>
        <w:tc>
          <w:tcPr>
            <w:tcW w:w="2289" w:type="dxa"/>
            <w:tcMar>
              <w:left w:w="144" w:type="dxa"/>
              <w:right w:w="144" w:type="dxa"/>
            </w:tcMar>
            <w:vAlign w:val="center"/>
          </w:tcPr>
          <w:p w14:paraId="06704063" w14:textId="77777777" w:rsidR="00DA4742" w:rsidRPr="006040D5" w:rsidRDefault="00DA4742" w:rsidP="00DA4742">
            <w:pPr>
              <w:rPr>
                <w:rFonts w:ascii="Arial" w:hAnsi="Arial" w:cs="Arial"/>
                <w:sz w:val="18"/>
                <w:szCs w:val="23"/>
              </w:rPr>
            </w:pPr>
            <w:r>
              <w:rPr>
                <w:rFonts w:ascii="Arial" w:hAnsi="Arial" w:cs="Arial"/>
                <w:sz w:val="18"/>
                <w:szCs w:val="23"/>
              </w:rPr>
              <w:t>July 2022 (</w:t>
            </w:r>
            <w:r w:rsidRPr="006040D5">
              <w:rPr>
                <w:rFonts w:ascii="Arial" w:hAnsi="Arial" w:cs="Arial"/>
                <w:sz w:val="18"/>
                <w:szCs w:val="23"/>
              </w:rPr>
              <w:t xml:space="preserve">57596 </w:t>
            </w:r>
            <w:proofErr w:type="gramStart"/>
            <w:r w:rsidRPr="006040D5">
              <w:rPr>
                <w:rFonts w:ascii="Arial" w:hAnsi="Arial" w:cs="Arial"/>
                <w:sz w:val="18"/>
                <w:szCs w:val="23"/>
              </w:rPr>
              <w:t>Million</w:t>
            </w:r>
            <w:proofErr w:type="gramEnd"/>
            <w:r w:rsidRPr="006040D5">
              <w:rPr>
                <w:rFonts w:ascii="Arial" w:hAnsi="Arial" w:cs="Arial"/>
                <w:sz w:val="18"/>
                <w:szCs w:val="23"/>
              </w:rPr>
              <w:t xml:space="preserve"> SAR</w:t>
            </w:r>
            <w:r>
              <w:rPr>
                <w:rFonts w:ascii="Arial" w:hAnsi="Arial" w:cs="Arial"/>
                <w:sz w:val="18"/>
                <w:szCs w:val="23"/>
              </w:rPr>
              <w:t xml:space="preserve">) </w:t>
            </w:r>
          </w:p>
          <w:p w14:paraId="355E622D" w14:textId="77777777" w:rsidR="00DA4742" w:rsidRDefault="00DA4742" w:rsidP="00DA4742">
            <w:pPr>
              <w:rPr>
                <w:rFonts w:ascii="Arial" w:hAnsi="Arial" w:cs="Arial"/>
                <w:sz w:val="18"/>
                <w:szCs w:val="23"/>
              </w:rPr>
            </w:pPr>
            <w:r>
              <w:rPr>
                <w:rFonts w:ascii="Arial" w:hAnsi="Arial" w:cs="Arial"/>
                <w:sz w:val="18"/>
                <w:szCs w:val="23"/>
              </w:rPr>
              <w:t>August 2022 (</w:t>
            </w:r>
            <w:r w:rsidRPr="006040D5">
              <w:rPr>
                <w:rFonts w:ascii="Arial" w:hAnsi="Arial" w:cs="Arial"/>
                <w:sz w:val="18"/>
                <w:szCs w:val="23"/>
              </w:rPr>
              <w:t xml:space="preserve">63790. 4 </w:t>
            </w:r>
            <w:proofErr w:type="gramStart"/>
            <w:r w:rsidRPr="006040D5">
              <w:rPr>
                <w:rFonts w:ascii="Arial" w:hAnsi="Arial" w:cs="Arial"/>
                <w:sz w:val="18"/>
                <w:szCs w:val="23"/>
              </w:rPr>
              <w:t>Million</w:t>
            </w:r>
            <w:proofErr w:type="gramEnd"/>
            <w:r w:rsidRPr="006040D5">
              <w:rPr>
                <w:rFonts w:ascii="Arial" w:hAnsi="Arial" w:cs="Arial"/>
                <w:sz w:val="18"/>
                <w:szCs w:val="23"/>
              </w:rPr>
              <w:t xml:space="preserve"> SAR</w:t>
            </w:r>
            <w:r>
              <w:rPr>
                <w:rFonts w:ascii="Arial" w:hAnsi="Arial" w:cs="Arial"/>
                <w:sz w:val="18"/>
                <w:szCs w:val="23"/>
              </w:rPr>
              <w:t>)</w:t>
            </w:r>
          </w:p>
          <w:p w14:paraId="07A2AA69" w14:textId="076E25C7" w:rsidR="00DA4742" w:rsidRDefault="00DA4742" w:rsidP="00DA4742">
            <w:pPr>
              <w:rPr>
                <w:rFonts w:ascii="Arial" w:hAnsi="Arial" w:cs="Arial"/>
                <w:sz w:val="18"/>
                <w:szCs w:val="23"/>
              </w:rPr>
            </w:pPr>
            <w:r>
              <w:rPr>
                <w:rFonts w:ascii="Arial" w:hAnsi="Arial" w:cs="Arial"/>
                <w:sz w:val="18"/>
                <w:szCs w:val="23"/>
              </w:rPr>
              <w:t>Sept 2022 (</w:t>
            </w:r>
            <w:r w:rsidRPr="006040D5">
              <w:rPr>
                <w:rFonts w:ascii="Arial" w:hAnsi="Arial" w:cs="Arial"/>
                <w:sz w:val="18"/>
                <w:szCs w:val="23"/>
              </w:rPr>
              <w:t xml:space="preserve">61130.5 </w:t>
            </w:r>
            <w:proofErr w:type="gramStart"/>
            <w:r w:rsidRPr="006040D5">
              <w:rPr>
                <w:rFonts w:ascii="Arial" w:hAnsi="Arial" w:cs="Arial"/>
                <w:sz w:val="18"/>
                <w:szCs w:val="23"/>
              </w:rPr>
              <w:t>Million</w:t>
            </w:r>
            <w:proofErr w:type="gramEnd"/>
            <w:r w:rsidRPr="006040D5">
              <w:rPr>
                <w:rFonts w:ascii="Arial" w:hAnsi="Arial" w:cs="Arial"/>
                <w:sz w:val="18"/>
                <w:szCs w:val="23"/>
              </w:rPr>
              <w:t xml:space="preserve"> SAR</w:t>
            </w:r>
            <w:r>
              <w:rPr>
                <w:rFonts w:ascii="Arial" w:hAnsi="Arial" w:cs="Arial"/>
                <w:sz w:val="18"/>
                <w:szCs w:val="23"/>
              </w:rPr>
              <w:t>)</w:t>
            </w:r>
          </w:p>
          <w:p w14:paraId="58B795DD" w14:textId="27ABFAB4" w:rsidR="001A415C" w:rsidRPr="00DA4742" w:rsidRDefault="001A415C" w:rsidP="00DA4742">
            <w:pPr>
              <w:rPr>
                <w:rFonts w:ascii="Arial" w:hAnsi="Arial" w:cs="Arial"/>
                <w:sz w:val="18"/>
                <w:szCs w:val="23"/>
              </w:rPr>
            </w:pPr>
            <w:r>
              <w:rPr>
                <w:rFonts w:ascii="Arial" w:hAnsi="Arial" w:cs="Arial"/>
                <w:sz w:val="18"/>
                <w:szCs w:val="23"/>
              </w:rPr>
              <w:t>Oct 2022 (</w:t>
            </w:r>
            <w:r w:rsidRPr="006040D5">
              <w:rPr>
                <w:rFonts w:ascii="Arial" w:hAnsi="Arial" w:cs="Arial"/>
                <w:sz w:val="18"/>
                <w:szCs w:val="23"/>
              </w:rPr>
              <w:t xml:space="preserve">63890.2 </w:t>
            </w:r>
            <w:proofErr w:type="gramStart"/>
            <w:r w:rsidRPr="006040D5">
              <w:rPr>
                <w:rFonts w:ascii="Arial" w:hAnsi="Arial" w:cs="Arial"/>
                <w:sz w:val="18"/>
                <w:szCs w:val="23"/>
              </w:rPr>
              <w:t>Million</w:t>
            </w:r>
            <w:proofErr w:type="gramEnd"/>
            <w:r w:rsidRPr="006040D5">
              <w:rPr>
                <w:rFonts w:ascii="Arial" w:hAnsi="Arial" w:cs="Arial"/>
                <w:sz w:val="18"/>
                <w:szCs w:val="23"/>
              </w:rPr>
              <w:t xml:space="preserve"> SAR</w:t>
            </w:r>
            <w:r>
              <w:rPr>
                <w:rFonts w:ascii="Arial" w:hAnsi="Arial" w:cs="Arial"/>
                <w:sz w:val="18"/>
                <w:szCs w:val="23"/>
              </w:rPr>
              <w:t>)</w:t>
            </w:r>
          </w:p>
        </w:tc>
        <w:tc>
          <w:tcPr>
            <w:tcW w:w="1512" w:type="dxa"/>
            <w:tcMar>
              <w:left w:w="144" w:type="dxa"/>
              <w:right w:w="144" w:type="dxa"/>
            </w:tcMar>
            <w:vAlign w:val="center"/>
          </w:tcPr>
          <w:p w14:paraId="7D02A24C" w14:textId="75236A59" w:rsidR="001A415C" w:rsidRPr="00C91982" w:rsidRDefault="004F6A95" w:rsidP="001A415C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 w:rsidRPr="004F6A9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No. A country's currency can suffer from both the volume of imports and the extent of the trade imbalance.</w:t>
            </w:r>
          </w:p>
        </w:tc>
        <w:tc>
          <w:tcPr>
            <w:tcW w:w="1509" w:type="dxa"/>
            <w:gridSpan w:val="2"/>
            <w:tcMar>
              <w:left w:w="144" w:type="dxa"/>
              <w:right w:w="144" w:type="dxa"/>
            </w:tcMar>
            <w:vAlign w:val="center"/>
          </w:tcPr>
          <w:p w14:paraId="0C9593FF" w14:textId="77777777" w:rsidR="001A415C" w:rsidRPr="001A415C" w:rsidRDefault="001A415C" w:rsidP="001A415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1A415C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In December 2022, Turkey's imports increased by 14.6% from the previous year to USD 33.3 billion.</w:t>
            </w:r>
          </w:p>
          <w:p w14:paraId="6F84E0DD" w14:textId="77777777" w:rsidR="001A415C" w:rsidRPr="001A415C" w:rsidRDefault="001A415C" w:rsidP="001A415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</w:p>
          <w:p w14:paraId="69194BE5" w14:textId="5CDC1F52" w:rsidR="001A415C" w:rsidRPr="00C91982" w:rsidRDefault="001A415C" w:rsidP="001A415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 w:rsidRPr="001A415C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 xml:space="preserve">Yearly </w:t>
            </w:r>
          </w:p>
        </w:tc>
        <w:tc>
          <w:tcPr>
            <w:tcW w:w="1626" w:type="dxa"/>
            <w:tcMar>
              <w:left w:w="144" w:type="dxa"/>
              <w:right w:w="144" w:type="dxa"/>
            </w:tcMar>
            <w:vAlign w:val="center"/>
          </w:tcPr>
          <w:p w14:paraId="253F1632" w14:textId="77777777" w:rsidR="00DA4742" w:rsidRPr="001A415C" w:rsidRDefault="00DA4742" w:rsidP="00DA47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1A415C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Sept 2022 (32204. 015 USD MILLION)</w:t>
            </w:r>
          </w:p>
          <w:p w14:paraId="4C1334CE" w14:textId="77777777" w:rsidR="00DA4742" w:rsidRPr="001A415C" w:rsidRDefault="00DA4742" w:rsidP="00DA47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1A415C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Oct 2022 (29300 USD MILLION)</w:t>
            </w:r>
          </w:p>
          <w:p w14:paraId="43DA3564" w14:textId="0233B7DE" w:rsidR="00DA4742" w:rsidRDefault="00DA4742" w:rsidP="00DA47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1A415C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Nov 2022 (30700 USD MILLION)</w:t>
            </w:r>
          </w:p>
          <w:p w14:paraId="0A818E00" w14:textId="152179F2" w:rsidR="001A415C" w:rsidRPr="00DA4742" w:rsidRDefault="001A415C" w:rsidP="00DA47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1A415C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Dec 2022 (33300 USD MILLION)</w:t>
            </w:r>
          </w:p>
        </w:tc>
        <w:tc>
          <w:tcPr>
            <w:tcW w:w="1531" w:type="dxa"/>
            <w:tcMar>
              <w:left w:w="144" w:type="dxa"/>
              <w:right w:w="144" w:type="dxa"/>
            </w:tcMar>
            <w:vAlign w:val="center"/>
          </w:tcPr>
          <w:p w14:paraId="27B08D62" w14:textId="4B114CC3" w:rsidR="001A415C" w:rsidRPr="006334F5" w:rsidRDefault="001A415C" w:rsidP="001A415C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No- import is severely increased. It can hurt the Turkeys currency value and its economy. </w:t>
            </w:r>
          </w:p>
          <w:p w14:paraId="1938EF16" w14:textId="4338B078" w:rsidR="001A415C" w:rsidRPr="00C91982" w:rsidRDefault="001A415C" w:rsidP="001A415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A415C" w:rsidRPr="00393B67" w14:paraId="4AAC3A54" w14:textId="77777777" w:rsidTr="001A415C">
        <w:trPr>
          <w:gridAfter w:val="1"/>
          <w:wAfter w:w="10" w:type="dxa"/>
          <w:cantSplit/>
          <w:trHeight w:val="864"/>
          <w:jc w:val="center"/>
        </w:trPr>
        <w:tc>
          <w:tcPr>
            <w:tcW w:w="1386" w:type="dxa"/>
            <w:tcBorders>
              <w:top w:val="single" w:sz="6" w:space="0" w:color="FFFFFF" w:themeColor="background1"/>
              <w:bottom w:val="single" w:sz="18" w:space="0" w:color="434549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7A367180" w14:textId="69C8462A" w:rsidR="001A415C" w:rsidRPr="00B230B3" w:rsidRDefault="001A415C" w:rsidP="001A415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230B3"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Exports</w:t>
            </w:r>
          </w:p>
        </w:tc>
        <w:tc>
          <w:tcPr>
            <w:tcW w:w="156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18" w:space="0" w:color="434549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019DAE3A" w14:textId="77777777" w:rsidR="001A415C" w:rsidRDefault="001A415C" w:rsidP="001A415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  <w:p w14:paraId="1931A87C" w14:textId="7EFF8F7F" w:rsidR="001A415C" w:rsidRDefault="001A415C" w:rsidP="001A415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  <w:r w:rsidRPr="00B230B3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 xml:space="preserve">Amount of goods purchased </w:t>
            </w:r>
            <w:r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by</w:t>
            </w:r>
            <w:r w:rsidRPr="00B230B3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 xml:space="preserve"> foreigners from a country.</w:t>
            </w:r>
          </w:p>
          <w:p w14:paraId="2E2B34E5" w14:textId="77777777" w:rsidR="001A415C" w:rsidRDefault="001A415C" w:rsidP="001A415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  <w:p w14:paraId="15AD2D2B" w14:textId="6ABBF9FD" w:rsidR="001A415C" w:rsidRPr="00B230B3" w:rsidRDefault="001A415C" w:rsidP="001A415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8" w:space="0" w:color="434549"/>
            </w:tcBorders>
            <w:tcMar>
              <w:left w:w="144" w:type="dxa"/>
              <w:right w:w="144" w:type="dxa"/>
            </w:tcMar>
            <w:vAlign w:val="center"/>
          </w:tcPr>
          <w:p w14:paraId="3DDEF249" w14:textId="2E68A263" w:rsidR="001A415C" w:rsidRPr="00C91982" w:rsidRDefault="001A415C" w:rsidP="001A415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 w:rsidRPr="001D616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Saudi Arabia's exports rose 13.9% year over year to SAR 120.7 billion in October 2022.</w:t>
            </w:r>
          </w:p>
        </w:tc>
        <w:tc>
          <w:tcPr>
            <w:tcW w:w="2289" w:type="dxa"/>
            <w:tcBorders>
              <w:bottom w:val="single" w:sz="18" w:space="0" w:color="434549"/>
            </w:tcBorders>
            <w:tcMar>
              <w:left w:w="144" w:type="dxa"/>
              <w:right w:w="144" w:type="dxa"/>
            </w:tcMar>
            <w:vAlign w:val="center"/>
          </w:tcPr>
          <w:p w14:paraId="6C86BA93" w14:textId="77777777" w:rsidR="00DA4742" w:rsidRDefault="00DA4742" w:rsidP="001A415C">
            <w:pPr>
              <w:rPr>
                <w:rFonts w:ascii="Arial" w:eastAsiaTheme="minorHAnsi" w:hAnsi="Arial" w:cs="Arial"/>
                <w:sz w:val="18"/>
              </w:rPr>
            </w:pPr>
            <w:r w:rsidRPr="001D6165">
              <w:rPr>
                <w:rFonts w:ascii="Arial" w:hAnsi="Arial" w:cs="Arial"/>
                <w:sz w:val="18"/>
              </w:rPr>
              <w:t xml:space="preserve">Sept 2022- 125195.10 </w:t>
            </w:r>
            <w:proofErr w:type="gramStart"/>
            <w:r w:rsidRPr="001D6165">
              <w:rPr>
                <w:rFonts w:ascii="Arial" w:hAnsi="Arial" w:cs="Arial"/>
                <w:sz w:val="18"/>
              </w:rPr>
              <w:t>Million</w:t>
            </w:r>
            <w:proofErr w:type="gramEnd"/>
            <w:r w:rsidRPr="001D6165">
              <w:rPr>
                <w:rFonts w:ascii="Arial" w:hAnsi="Arial" w:cs="Arial"/>
                <w:sz w:val="18"/>
              </w:rPr>
              <w:t xml:space="preserve"> SAR</w:t>
            </w:r>
            <w:r w:rsidRPr="001D6165">
              <w:rPr>
                <w:rFonts w:ascii="Arial" w:eastAsiaTheme="minorHAnsi" w:hAnsi="Arial" w:cs="Arial"/>
                <w:sz w:val="18"/>
              </w:rPr>
              <w:t xml:space="preserve"> </w:t>
            </w:r>
          </w:p>
          <w:p w14:paraId="05548625" w14:textId="0E7D0071" w:rsidR="001A415C" w:rsidRPr="001D6165" w:rsidRDefault="001A415C" w:rsidP="001A415C">
            <w:pPr>
              <w:rPr>
                <w:rFonts w:ascii="Arial" w:hAnsi="Arial" w:cs="Arial"/>
                <w:sz w:val="18"/>
              </w:rPr>
            </w:pPr>
            <w:r w:rsidRPr="001D6165">
              <w:rPr>
                <w:rFonts w:ascii="Arial" w:eastAsiaTheme="minorHAnsi" w:hAnsi="Arial" w:cs="Arial"/>
                <w:sz w:val="18"/>
              </w:rPr>
              <w:t xml:space="preserve">Oct 2022- </w:t>
            </w:r>
            <w:r w:rsidRPr="001D6165">
              <w:rPr>
                <w:rFonts w:ascii="Arial" w:hAnsi="Arial" w:cs="Arial"/>
                <w:sz w:val="18"/>
              </w:rPr>
              <w:t xml:space="preserve">120702.50 </w:t>
            </w:r>
            <w:proofErr w:type="gramStart"/>
            <w:r w:rsidRPr="001D6165">
              <w:rPr>
                <w:rFonts w:ascii="Arial" w:hAnsi="Arial" w:cs="Arial"/>
                <w:sz w:val="18"/>
              </w:rPr>
              <w:t>Million</w:t>
            </w:r>
            <w:proofErr w:type="gramEnd"/>
            <w:r w:rsidRPr="001D6165">
              <w:rPr>
                <w:rFonts w:ascii="Arial" w:hAnsi="Arial" w:cs="Arial"/>
                <w:sz w:val="18"/>
              </w:rPr>
              <w:t xml:space="preserve"> SAR</w:t>
            </w:r>
          </w:p>
          <w:p w14:paraId="2D01A8AC" w14:textId="56FE4C0D" w:rsidR="001A415C" w:rsidRPr="001D6165" w:rsidRDefault="001A415C" w:rsidP="001A415C">
            <w:pPr>
              <w:rPr>
                <w:rFonts w:ascii="Arial" w:eastAsiaTheme="minorHAnsi" w:hAnsi="Arial" w:cs="Arial"/>
                <w:sz w:val="18"/>
              </w:rPr>
            </w:pPr>
          </w:p>
        </w:tc>
        <w:tc>
          <w:tcPr>
            <w:tcW w:w="1512" w:type="dxa"/>
            <w:tcBorders>
              <w:bottom w:val="single" w:sz="18" w:space="0" w:color="434549"/>
            </w:tcBorders>
            <w:tcMar>
              <w:left w:w="144" w:type="dxa"/>
              <w:right w:w="144" w:type="dxa"/>
            </w:tcMar>
            <w:vAlign w:val="center"/>
          </w:tcPr>
          <w:p w14:paraId="1DBE2158" w14:textId="035EFC7D" w:rsidR="001A415C" w:rsidRPr="006334F5" w:rsidRDefault="001A415C" w:rsidP="001A415C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No- the export has declined a lot in 2022. It severely effects Gross Domestic Product. </w:t>
            </w:r>
          </w:p>
          <w:p w14:paraId="0170C1C5" w14:textId="5B99AC84" w:rsidR="001A415C" w:rsidRPr="00C91982" w:rsidRDefault="001A415C" w:rsidP="001A415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bottom w:val="single" w:sz="18" w:space="0" w:color="434549"/>
            </w:tcBorders>
            <w:tcMar>
              <w:left w:w="144" w:type="dxa"/>
              <w:right w:w="144" w:type="dxa"/>
            </w:tcMar>
            <w:vAlign w:val="center"/>
          </w:tcPr>
          <w:p w14:paraId="4E133E7B" w14:textId="77777777" w:rsidR="001C0DA0" w:rsidRPr="001C0DA0" w:rsidRDefault="001C0DA0" w:rsidP="001A415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1C0DA0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In December 2022, Turkey's exports reached USD 22.9 billion, up 3.1% from the previous year.</w:t>
            </w:r>
          </w:p>
          <w:p w14:paraId="2B111402" w14:textId="77777777" w:rsidR="001C0DA0" w:rsidRPr="001C0DA0" w:rsidRDefault="001C0DA0" w:rsidP="001A415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</w:p>
          <w:p w14:paraId="5DC6543E" w14:textId="7FBAC778" w:rsidR="001A415C" w:rsidRPr="001C0DA0" w:rsidRDefault="001C0DA0" w:rsidP="001A415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1C0DA0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 xml:space="preserve">Yearly </w:t>
            </w:r>
          </w:p>
        </w:tc>
        <w:tc>
          <w:tcPr>
            <w:tcW w:w="1626" w:type="dxa"/>
            <w:tcBorders>
              <w:bottom w:val="single" w:sz="18" w:space="0" w:color="434549"/>
            </w:tcBorders>
            <w:tcMar>
              <w:left w:w="144" w:type="dxa"/>
              <w:right w:w="144" w:type="dxa"/>
            </w:tcMar>
            <w:vAlign w:val="center"/>
          </w:tcPr>
          <w:p w14:paraId="16B142B5" w14:textId="77777777" w:rsidR="00DA4742" w:rsidRPr="001A415C" w:rsidRDefault="00DA4742" w:rsidP="00DA47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1A415C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Sept 2022 (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22612</w:t>
            </w:r>
            <w:r w:rsidRPr="001A415C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.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035</w:t>
            </w:r>
            <w:r w:rsidRPr="001A415C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 xml:space="preserve"> USD MILLION)</w:t>
            </w:r>
          </w:p>
          <w:p w14:paraId="4E13EA20" w14:textId="77777777" w:rsidR="00DA4742" w:rsidRPr="001A415C" w:rsidRDefault="00DA4742" w:rsidP="00DA47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1A415C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Oct 2022 (2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 xml:space="preserve">1300 </w:t>
            </w:r>
            <w:r w:rsidRPr="001A415C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USD MILLION)</w:t>
            </w:r>
          </w:p>
          <w:p w14:paraId="08CF6062" w14:textId="4E527023" w:rsidR="00DA4742" w:rsidRDefault="00DA4742" w:rsidP="00DA47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1A415C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Nov 2022 (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219</w:t>
            </w:r>
            <w:r w:rsidRPr="001A415C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00 USD MILLION)</w:t>
            </w:r>
          </w:p>
          <w:p w14:paraId="1C9AB8C7" w14:textId="4BA4D42B" w:rsidR="001A415C" w:rsidRPr="00DA4742" w:rsidRDefault="001C0DA0" w:rsidP="00DA474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1A415C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Dec 2022 (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22920</w:t>
            </w:r>
            <w:r w:rsidRPr="001A415C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 xml:space="preserve"> USD MILLION)</w:t>
            </w:r>
          </w:p>
        </w:tc>
        <w:tc>
          <w:tcPr>
            <w:tcW w:w="1531" w:type="dxa"/>
            <w:tcBorders>
              <w:bottom w:val="single" w:sz="18" w:space="0" w:color="434549"/>
            </w:tcBorders>
            <w:tcMar>
              <w:left w:w="144" w:type="dxa"/>
              <w:right w:w="144" w:type="dxa"/>
            </w:tcMar>
            <w:vAlign w:val="center"/>
          </w:tcPr>
          <w:p w14:paraId="3C02D797" w14:textId="77777777" w:rsidR="00BD719E" w:rsidRDefault="001A415C" w:rsidP="001C0DA0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Yes</w:t>
            </w:r>
            <w:r w:rsidR="001C0DA0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. Since the export is increased over months. It would help in market expansion, greater productions and </w:t>
            </w:r>
          </w:p>
          <w:p w14:paraId="13C0132C" w14:textId="0886F21C" w:rsidR="001A415C" w:rsidRPr="001C0DA0" w:rsidRDefault="001C0DA0" w:rsidP="001C0DA0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developments. </w:t>
            </w:r>
          </w:p>
        </w:tc>
      </w:tr>
    </w:tbl>
    <w:p w14:paraId="23D719D4" w14:textId="4A2CE0D3" w:rsidR="00FA3F3F" w:rsidRPr="00393B67" w:rsidRDefault="00373147" w:rsidP="00BE46FB">
      <w:pPr>
        <w:spacing w:before="240" w:after="360" w:line="276" w:lineRule="auto"/>
        <w:rPr>
          <w:rStyle w:val="Hyperlink"/>
          <w:rFonts w:ascii="Arial" w:eastAsiaTheme="minorHAnsi" w:hAnsi="Arial" w:cs="Arial"/>
          <w:b/>
          <w:color w:val="7F7F7F" w:themeColor="text1" w:themeTint="80"/>
          <w:sz w:val="22"/>
          <w:szCs w:val="22"/>
        </w:rPr>
      </w:pPr>
      <w:r w:rsidRPr="00393B67">
        <w:rPr>
          <w:rFonts w:ascii="Arial" w:eastAsiaTheme="minorHAnsi" w:hAnsi="Arial" w:cs="Arial"/>
          <w:b/>
          <w:bCs/>
          <w:color w:val="7F7F7F" w:themeColor="text1" w:themeTint="80"/>
          <w:sz w:val="44"/>
          <w:szCs w:val="44"/>
        </w:rPr>
        <w:br w:type="page"/>
      </w:r>
      <w:r w:rsidRPr="00BE46FB">
        <w:rPr>
          <w:rFonts w:ascii="Arial" w:eastAsiaTheme="minorHAnsi" w:hAnsi="Arial" w:cs="Arial"/>
          <w:b/>
          <w:bCs/>
          <w:color w:val="800000"/>
          <w:sz w:val="56"/>
          <w:szCs w:val="40"/>
          <w:bdr w:val="single" w:sz="4" w:space="0" w:color="auto"/>
          <w:shd w:val="clear" w:color="auto" w:fill="F2F2F2" w:themeFill="background1" w:themeFillShade="F2"/>
        </w:rPr>
        <w:lastRenderedPageBreak/>
        <w:t>S</w:t>
      </w:r>
      <w:r w:rsidR="00393B67" w:rsidRPr="00BE46FB">
        <w:rPr>
          <w:rFonts w:ascii="Arial" w:eastAsiaTheme="minorHAnsi" w:hAnsi="Arial" w:cs="Arial"/>
          <w:b/>
          <w:bCs/>
          <w:color w:val="7F7F7F" w:themeColor="text1" w:themeTint="80"/>
          <w:sz w:val="36"/>
          <w:szCs w:val="40"/>
        </w:rPr>
        <w:t xml:space="preserve"> </w:t>
      </w:r>
      <w:r w:rsidR="00B230B3" w:rsidRPr="00BE46FB"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  <w:t xml:space="preserve">= </w:t>
      </w:r>
      <w:r w:rsidRPr="00BE46FB">
        <w:rPr>
          <w:rFonts w:ascii="Arial" w:eastAsiaTheme="minorHAnsi" w:hAnsi="Arial" w:cs="Arial"/>
          <w:b/>
          <w:bCs/>
          <w:color w:val="262626" w:themeColor="text1" w:themeTint="D9"/>
          <w:sz w:val="36"/>
          <w:szCs w:val="40"/>
        </w:rPr>
        <w:t>Savings &amp; Investment</w:t>
      </w:r>
      <w:r w:rsidR="00FA3F3F" w:rsidRPr="00BE46FB">
        <w:rPr>
          <w:rFonts w:ascii="Arial" w:eastAsiaTheme="minorHAnsi" w:hAnsi="Arial" w:cs="Arial"/>
          <w:b/>
          <w:bCs/>
          <w:color w:val="262626" w:themeColor="text1" w:themeTint="D9"/>
          <w:sz w:val="40"/>
          <w:szCs w:val="44"/>
        </w:rPr>
        <w:tab/>
      </w:r>
      <w:r w:rsidR="00FA3F3F" w:rsidRPr="00BE46F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BE46F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BE46F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BE46FB">
        <w:rPr>
          <w:rFonts w:ascii="Arial" w:eastAsiaTheme="minorHAnsi" w:hAnsi="Arial" w:cs="Arial"/>
          <w:b/>
          <w:bCs/>
          <w:color w:val="262626" w:themeColor="text1" w:themeTint="D9"/>
          <w:sz w:val="28"/>
          <w:szCs w:val="32"/>
        </w:rPr>
        <w:tab/>
      </w:r>
      <w:r w:rsidR="00FA3F3F" w:rsidRPr="00BE46FB">
        <w:rPr>
          <w:rFonts w:ascii="Arial" w:eastAsiaTheme="minorHAnsi" w:hAnsi="Arial" w:cs="Arial"/>
          <w:b/>
          <w:color w:val="262626" w:themeColor="text1" w:themeTint="D9"/>
          <w:sz w:val="20"/>
          <w:szCs w:val="22"/>
        </w:rPr>
        <w:t xml:space="preserve">Click here to access the </w:t>
      </w:r>
      <w:hyperlink r:id="rId13" w:tooltip="tradingeconomics.com" w:history="1">
        <w:r w:rsidR="00FA3F3F" w:rsidRPr="00BE46FB">
          <w:rPr>
            <w:rStyle w:val="Hyperlink"/>
            <w:rFonts w:ascii="Arial" w:eastAsiaTheme="minorHAnsi" w:hAnsi="Arial" w:cs="Arial"/>
            <w:b/>
            <w:color w:val="262626" w:themeColor="text1" w:themeTint="D9"/>
            <w:sz w:val="20"/>
            <w:szCs w:val="22"/>
          </w:rPr>
          <w:t>Trading Economics website</w:t>
        </w:r>
      </w:hyperlink>
    </w:p>
    <w:tbl>
      <w:tblPr>
        <w:tblStyle w:val="TableGrid"/>
        <w:tblW w:w="0" w:type="auto"/>
        <w:jc w:val="center"/>
        <w:tblBorders>
          <w:top w:val="single" w:sz="18" w:space="0" w:color="434549"/>
          <w:left w:val="single" w:sz="18" w:space="0" w:color="434549"/>
          <w:bottom w:val="single" w:sz="18" w:space="0" w:color="434549"/>
          <w:right w:val="single" w:sz="18" w:space="0" w:color="434549"/>
          <w:insideH w:val="single" w:sz="6" w:space="0" w:color="434549"/>
          <w:insideV w:val="single" w:sz="6" w:space="0" w:color="434549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383"/>
        <w:gridCol w:w="2740"/>
        <w:gridCol w:w="1614"/>
        <w:gridCol w:w="1744"/>
        <w:gridCol w:w="1467"/>
        <w:gridCol w:w="1495"/>
        <w:gridCol w:w="1728"/>
        <w:gridCol w:w="1477"/>
      </w:tblGrid>
      <w:tr w:rsidR="008608FD" w:rsidRPr="00393B67" w14:paraId="7F402690" w14:textId="77777777" w:rsidTr="00F86D57">
        <w:trPr>
          <w:cantSplit/>
          <w:trHeight w:val="240"/>
          <w:jc w:val="center"/>
        </w:trPr>
        <w:tc>
          <w:tcPr>
            <w:tcW w:w="1383" w:type="dxa"/>
            <w:vMerge w:val="restart"/>
            <w:tcBorders>
              <w:top w:val="single" w:sz="18" w:space="0" w:color="434549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0E06AD1D" w14:textId="77777777" w:rsidR="008608FD" w:rsidRPr="00B230B3" w:rsidRDefault="008608FD" w:rsidP="002647F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230B3"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  <w:t>Indicator</w:t>
            </w:r>
          </w:p>
        </w:tc>
        <w:tc>
          <w:tcPr>
            <w:tcW w:w="2740" w:type="dxa"/>
            <w:vMerge w:val="restart"/>
            <w:tcBorders>
              <w:top w:val="single" w:sz="18" w:space="0" w:color="434549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312BF5DF" w14:textId="77777777" w:rsidR="008608FD" w:rsidRPr="00B230B3" w:rsidRDefault="008608FD" w:rsidP="002647F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230B3"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  <w:t>Meaning</w:t>
            </w:r>
          </w:p>
        </w:tc>
        <w:tc>
          <w:tcPr>
            <w:tcW w:w="4825" w:type="dxa"/>
            <w:gridSpan w:val="3"/>
            <w:tcBorders>
              <w:top w:val="single" w:sz="18" w:space="0" w:color="434549"/>
            </w:tcBorders>
            <w:shd w:val="clear" w:color="auto" w:fill="F2F2F2" w:themeFill="background1" w:themeFillShade="F2"/>
            <w:vAlign w:val="center"/>
          </w:tcPr>
          <w:p w14:paraId="08A4CE84" w14:textId="0B74A610" w:rsidR="008608FD" w:rsidRPr="00C91982" w:rsidRDefault="008608FD" w:rsidP="002647F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91982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Country: </w:t>
            </w:r>
            <w:r w:rsidR="005A3C54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Saudi Arabia </w:t>
            </w:r>
          </w:p>
        </w:tc>
        <w:tc>
          <w:tcPr>
            <w:tcW w:w="4700" w:type="dxa"/>
            <w:gridSpan w:val="3"/>
            <w:tcBorders>
              <w:top w:val="single" w:sz="18" w:space="0" w:color="434549"/>
            </w:tcBorders>
            <w:shd w:val="clear" w:color="auto" w:fill="F2F2F2" w:themeFill="background1" w:themeFillShade="F2"/>
            <w:vAlign w:val="center"/>
          </w:tcPr>
          <w:p w14:paraId="595DD1A2" w14:textId="01A5E1D3" w:rsidR="008608FD" w:rsidRPr="00C91982" w:rsidRDefault="008608FD" w:rsidP="002647F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91982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Country: </w:t>
            </w:r>
            <w:r w:rsidR="005A3C54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Turkey </w:t>
            </w:r>
          </w:p>
        </w:tc>
      </w:tr>
      <w:tr w:rsidR="009146E5" w:rsidRPr="00393B67" w14:paraId="209357C0" w14:textId="77777777" w:rsidTr="00F86D57">
        <w:trPr>
          <w:cantSplit/>
          <w:trHeight w:val="240"/>
          <w:jc w:val="center"/>
        </w:trPr>
        <w:tc>
          <w:tcPr>
            <w:tcW w:w="1383" w:type="dxa"/>
            <w:vMerge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37A37E37" w14:textId="77777777" w:rsidR="009146E5" w:rsidRPr="00B230B3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40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vAlign w:val="center"/>
          </w:tcPr>
          <w:p w14:paraId="162DD581" w14:textId="77777777" w:rsidR="009146E5" w:rsidRPr="00B230B3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14" w:type="dxa"/>
            <w:vAlign w:val="center"/>
          </w:tcPr>
          <w:p w14:paraId="666909D3" w14:textId="77777777" w:rsidR="009146E5" w:rsidRPr="006334F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-662" w:firstLine="662"/>
              <w:contextualSpacing w:val="0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Latest Entry &amp;</w:t>
            </w:r>
          </w:p>
          <w:p w14:paraId="65C1D6E4" w14:textId="66AAE14E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Frequency</w:t>
            </w:r>
          </w:p>
        </w:tc>
        <w:tc>
          <w:tcPr>
            <w:tcW w:w="1744" w:type="dxa"/>
            <w:vAlign w:val="center"/>
          </w:tcPr>
          <w:p w14:paraId="585DDA58" w14:textId="022466B3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Trend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– with explanation</w:t>
            </w:r>
          </w:p>
        </w:tc>
        <w:tc>
          <w:tcPr>
            <w:tcW w:w="1467" w:type="dxa"/>
            <w:vAlign w:val="center"/>
          </w:tcPr>
          <w:p w14:paraId="238E42EE" w14:textId="73F7074A" w:rsidR="009146E5" w:rsidRPr="00C91982" w:rsidRDefault="009C4E79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Healthy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Trend </w:t>
            </w: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(Y/N)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&amp; </w:t>
            </w:r>
            <w:proofErr w:type="gramStart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Why</w:t>
            </w:r>
            <w:proofErr w:type="gramEnd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?   </w:t>
            </w:r>
          </w:p>
        </w:tc>
        <w:tc>
          <w:tcPr>
            <w:tcW w:w="1495" w:type="dxa"/>
            <w:vAlign w:val="center"/>
          </w:tcPr>
          <w:p w14:paraId="17AD9341" w14:textId="77777777" w:rsidR="009146E5" w:rsidRPr="006334F5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-662" w:firstLine="662"/>
              <w:contextualSpacing w:val="0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Latest Entry &amp;</w:t>
            </w:r>
          </w:p>
          <w:p w14:paraId="23AA5996" w14:textId="78F6E5DF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Frequency</w:t>
            </w:r>
          </w:p>
        </w:tc>
        <w:tc>
          <w:tcPr>
            <w:tcW w:w="1728" w:type="dxa"/>
            <w:vAlign w:val="center"/>
          </w:tcPr>
          <w:p w14:paraId="593BA103" w14:textId="0D32300E" w:rsidR="009146E5" w:rsidRPr="00C91982" w:rsidRDefault="009146E5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Trend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– with explanation</w:t>
            </w:r>
          </w:p>
        </w:tc>
        <w:tc>
          <w:tcPr>
            <w:tcW w:w="1477" w:type="dxa"/>
            <w:vAlign w:val="center"/>
          </w:tcPr>
          <w:p w14:paraId="5F9CE1E8" w14:textId="28F5DECC" w:rsidR="009146E5" w:rsidRPr="00C91982" w:rsidRDefault="009C4E79" w:rsidP="00914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Healthy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Trend </w:t>
            </w:r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(Y/N)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&amp; </w:t>
            </w:r>
            <w:proofErr w:type="gramStart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>Why</w:t>
            </w:r>
            <w:proofErr w:type="gramEnd"/>
            <w:r w:rsidRPr="006334F5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?   </w:t>
            </w:r>
          </w:p>
        </w:tc>
      </w:tr>
      <w:tr w:rsidR="001806F1" w:rsidRPr="00393B67" w14:paraId="0531249B" w14:textId="77777777" w:rsidTr="00F86D57">
        <w:trPr>
          <w:cantSplit/>
          <w:trHeight w:val="864"/>
          <w:jc w:val="center"/>
        </w:trPr>
        <w:tc>
          <w:tcPr>
            <w:tcW w:w="1383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3812F509" w14:textId="460FEE0A" w:rsidR="001806F1" w:rsidRPr="00B230B3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230B3"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t>Personal Savings</w:t>
            </w:r>
          </w:p>
        </w:tc>
        <w:tc>
          <w:tcPr>
            <w:tcW w:w="2740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0F0280D0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  <w:p w14:paraId="6E146960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  <w:r w:rsidRPr="00B230B3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When a person rather than a company saves money to spend or invest later.</w:t>
            </w:r>
          </w:p>
          <w:p w14:paraId="4A4F3A1A" w14:textId="487258D1" w:rsidR="001806F1" w:rsidRPr="00B230B3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14" w:type="dxa"/>
            <w:tcMar>
              <w:left w:w="144" w:type="dxa"/>
              <w:right w:w="144" w:type="dxa"/>
            </w:tcMar>
            <w:vAlign w:val="center"/>
          </w:tcPr>
          <w:p w14:paraId="3BF4A84D" w14:textId="212202E7" w:rsidR="00606653" w:rsidRPr="004F6A95" w:rsidRDefault="004F6A95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6"/>
              </w:rPr>
            </w:pPr>
            <w:r w:rsidRPr="004F6A9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6"/>
              </w:rPr>
              <w:t>The gross savings rate for Saudi Arabia rose from 47.2% in the most recent quarter to 47.2% in September 2022.</w:t>
            </w:r>
          </w:p>
          <w:p w14:paraId="30D61B6E" w14:textId="77777777" w:rsidR="004F6A95" w:rsidRPr="004F6A95" w:rsidRDefault="004F6A95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6"/>
              </w:rPr>
            </w:pPr>
          </w:p>
          <w:p w14:paraId="0A623A1D" w14:textId="2F6E7D34" w:rsidR="00606653" w:rsidRPr="004F6A95" w:rsidRDefault="00606653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6"/>
              </w:rPr>
            </w:pPr>
            <w:r w:rsidRPr="004F6A9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6"/>
              </w:rPr>
              <w:t xml:space="preserve">Quarterly </w:t>
            </w:r>
          </w:p>
        </w:tc>
        <w:tc>
          <w:tcPr>
            <w:tcW w:w="1744" w:type="dxa"/>
            <w:tcMar>
              <w:left w:w="144" w:type="dxa"/>
              <w:right w:w="144" w:type="dxa"/>
            </w:tcMar>
            <w:vAlign w:val="center"/>
          </w:tcPr>
          <w:p w14:paraId="5828A949" w14:textId="77777777" w:rsidR="00071D53" w:rsidRPr="004F6A95" w:rsidRDefault="00071D53" w:rsidP="00071D5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6"/>
              </w:rPr>
            </w:pPr>
            <w:r w:rsidRPr="004F6A9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6"/>
              </w:rPr>
              <w:t xml:space="preserve">April 21 (32.51%) </w:t>
            </w:r>
          </w:p>
          <w:p w14:paraId="53577727" w14:textId="5AD2B38D" w:rsidR="00071D53" w:rsidRDefault="00071D53" w:rsidP="00071D5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6"/>
              </w:rPr>
            </w:pPr>
            <w:r w:rsidRPr="004F6A9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6"/>
              </w:rPr>
              <w:t>July 21 (31.52%)</w:t>
            </w:r>
          </w:p>
          <w:p w14:paraId="6A070D3F" w14:textId="3392E32B" w:rsidR="00071D53" w:rsidRDefault="00071D53" w:rsidP="00071D5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6"/>
              </w:rPr>
            </w:pPr>
            <w:r w:rsidRPr="004F6A9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6"/>
              </w:rPr>
              <w:t xml:space="preserve">Oct 2021 (38.16%) </w:t>
            </w:r>
          </w:p>
          <w:p w14:paraId="755C305E" w14:textId="2521AE75" w:rsidR="00363CD4" w:rsidRPr="004F6A95" w:rsidRDefault="00363CD4" w:rsidP="00071D5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6"/>
              </w:rPr>
            </w:pPr>
            <w:r w:rsidRPr="004F6A9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6"/>
              </w:rPr>
              <w:t>Jan 2022- (33.62%)</w:t>
            </w:r>
          </w:p>
        </w:tc>
        <w:tc>
          <w:tcPr>
            <w:tcW w:w="1467" w:type="dxa"/>
            <w:tcMar>
              <w:left w:w="144" w:type="dxa"/>
              <w:right w:w="144" w:type="dxa"/>
            </w:tcMar>
            <w:vAlign w:val="center"/>
          </w:tcPr>
          <w:p w14:paraId="20F0CB49" w14:textId="37A636A0" w:rsidR="001806F1" w:rsidRPr="004F6A95" w:rsidRDefault="004F6A95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6"/>
              </w:rPr>
            </w:pPr>
            <w:r w:rsidRPr="004F6A9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6"/>
              </w:rPr>
              <w:t>No. A low savings rate implies both increased present spending and decreased future spending. It prevents the nation's development.</w:t>
            </w:r>
          </w:p>
        </w:tc>
        <w:tc>
          <w:tcPr>
            <w:tcW w:w="1495" w:type="dxa"/>
            <w:tcMar>
              <w:left w:w="144" w:type="dxa"/>
              <w:right w:w="144" w:type="dxa"/>
            </w:tcMar>
            <w:vAlign w:val="center"/>
          </w:tcPr>
          <w:p w14:paraId="37171337" w14:textId="77777777" w:rsidR="00DB3A2A" w:rsidRPr="004F6A95" w:rsidRDefault="00DB3A2A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6"/>
              </w:rPr>
            </w:pPr>
            <w:r w:rsidRPr="004F6A9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6"/>
              </w:rPr>
              <w:t>Turkey's gross savings rate increased from 31.2% in the past quarter to 31.2% in September 2022.</w:t>
            </w:r>
          </w:p>
          <w:p w14:paraId="570F5619" w14:textId="77777777" w:rsidR="00DB3A2A" w:rsidRPr="004F6A95" w:rsidRDefault="00DB3A2A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6"/>
              </w:rPr>
            </w:pPr>
          </w:p>
          <w:p w14:paraId="50B36B63" w14:textId="73A0262F" w:rsidR="001806F1" w:rsidRPr="004F6A95" w:rsidRDefault="00DB3A2A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6"/>
              </w:rPr>
            </w:pPr>
            <w:r w:rsidRPr="004F6A9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6"/>
              </w:rPr>
              <w:t xml:space="preserve">Quarterly </w:t>
            </w:r>
          </w:p>
        </w:tc>
        <w:tc>
          <w:tcPr>
            <w:tcW w:w="1728" w:type="dxa"/>
            <w:tcMar>
              <w:left w:w="144" w:type="dxa"/>
              <w:right w:w="144" w:type="dxa"/>
            </w:tcMar>
            <w:vAlign w:val="center"/>
          </w:tcPr>
          <w:p w14:paraId="3620EB83" w14:textId="285E309E" w:rsidR="00071D53" w:rsidRDefault="00071D53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6"/>
              </w:rPr>
            </w:pPr>
            <w:r w:rsidRPr="004F6A9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6"/>
              </w:rPr>
              <w:t>April 2021- 30.8%</w:t>
            </w:r>
          </w:p>
          <w:p w14:paraId="7EDAA47B" w14:textId="77777777" w:rsidR="00071D53" w:rsidRPr="004F6A95" w:rsidRDefault="00071D53" w:rsidP="00071D5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6"/>
              </w:rPr>
            </w:pPr>
            <w:r w:rsidRPr="004F6A9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6"/>
              </w:rPr>
              <w:t>July 2021- 31.5%</w:t>
            </w:r>
          </w:p>
          <w:p w14:paraId="6AC87C87" w14:textId="72DB0B6B" w:rsidR="00071D53" w:rsidRDefault="00071D53" w:rsidP="00071D5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6"/>
              </w:rPr>
            </w:pPr>
            <w:r w:rsidRPr="004F6A9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6"/>
              </w:rPr>
              <w:t>Oct 2021- 32.21%</w:t>
            </w:r>
          </w:p>
          <w:p w14:paraId="0E2B93D4" w14:textId="5851F20C" w:rsidR="001806F1" w:rsidRPr="004F6A95" w:rsidRDefault="00DB3A2A" w:rsidP="00071D5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6"/>
              </w:rPr>
            </w:pPr>
            <w:r w:rsidRPr="004F6A9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6"/>
              </w:rPr>
              <w:t>Jan 2022- 31.2%</w:t>
            </w:r>
          </w:p>
        </w:tc>
        <w:tc>
          <w:tcPr>
            <w:tcW w:w="1477" w:type="dxa"/>
            <w:tcMar>
              <w:left w:w="144" w:type="dxa"/>
              <w:right w:w="144" w:type="dxa"/>
            </w:tcMar>
            <w:vAlign w:val="center"/>
          </w:tcPr>
          <w:p w14:paraId="5D5AF335" w14:textId="3A777C99" w:rsidR="001806F1" w:rsidRPr="004F6A95" w:rsidRDefault="004F6A95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6"/>
              </w:rPr>
            </w:pPr>
            <w:r w:rsidRPr="004F6A9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6"/>
              </w:rPr>
              <w:t>No. A low savings rate implies both increased present spending and decreased future spending. It prevents the nation's development.</w:t>
            </w:r>
          </w:p>
        </w:tc>
      </w:tr>
      <w:tr w:rsidR="001806F1" w:rsidRPr="00393B67" w14:paraId="1200D997" w14:textId="77777777" w:rsidTr="00F86D57">
        <w:trPr>
          <w:cantSplit/>
          <w:trHeight w:val="864"/>
          <w:jc w:val="center"/>
        </w:trPr>
        <w:tc>
          <w:tcPr>
            <w:tcW w:w="1383" w:type="dxa"/>
            <w:tcBorders>
              <w:top w:val="single" w:sz="6" w:space="0" w:color="FFFFFF" w:themeColor="background1"/>
              <w:bottom w:val="single" w:sz="12" w:space="0" w:color="434549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4955F472" w14:textId="04BCD63C" w:rsidR="001806F1" w:rsidRPr="00B230B3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Consumer Confidence</w:t>
            </w:r>
          </w:p>
        </w:tc>
        <w:tc>
          <w:tcPr>
            <w:tcW w:w="27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12" w:space="0" w:color="434549"/>
              <w:right w:val="single" w:sz="6" w:space="0" w:color="FFFFFF" w:themeColor="background1"/>
            </w:tcBorders>
            <w:shd w:val="clear" w:color="auto" w:fill="A4002B"/>
            <w:tcMar>
              <w:left w:w="144" w:type="dxa"/>
              <w:right w:w="144" w:type="dxa"/>
            </w:tcMar>
            <w:vAlign w:val="center"/>
          </w:tcPr>
          <w:p w14:paraId="02395075" w14:textId="77777777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  <w:p w14:paraId="79228B05" w14:textId="1B2F576A" w:rsidR="001806F1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>B</w:t>
            </w:r>
            <w:r w:rsidRPr="00220E29"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  <w:t xml:space="preserve">ased on consumers’ perceptions of current business and employment conditions, as well as their expectations for six months hence regarding business conditions, employment, and income. </w:t>
            </w:r>
          </w:p>
          <w:p w14:paraId="018FA4B7" w14:textId="03E4BC90" w:rsidR="001806F1" w:rsidRPr="00B230B3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12" w:space="0" w:color="434549"/>
            </w:tcBorders>
            <w:tcMar>
              <w:left w:w="144" w:type="dxa"/>
              <w:right w:w="144" w:type="dxa"/>
            </w:tcMar>
            <w:vAlign w:val="center"/>
          </w:tcPr>
          <w:p w14:paraId="0FDB8870" w14:textId="3225E2E0" w:rsidR="001806F1" w:rsidRPr="00F86D57" w:rsidRDefault="00870345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87034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Consumer confidence in Saudi Arabia averaged 108.89 points between 2010 and 2021, reaching a record high in the second quarter of 2021 of 130.00 points and a record low of 94.00 points in the fourth quarter of 2016.</w:t>
            </w:r>
          </w:p>
        </w:tc>
        <w:tc>
          <w:tcPr>
            <w:tcW w:w="1744" w:type="dxa"/>
            <w:tcBorders>
              <w:bottom w:val="single" w:sz="12" w:space="0" w:color="434549"/>
            </w:tcBorders>
            <w:tcMar>
              <w:left w:w="144" w:type="dxa"/>
              <w:right w:w="144" w:type="dxa"/>
            </w:tcMar>
            <w:vAlign w:val="center"/>
          </w:tcPr>
          <w:p w14:paraId="683962F9" w14:textId="21FB8880" w:rsidR="00071D53" w:rsidRDefault="00071D53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F86D57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July 2020 (104 points)</w:t>
            </w:r>
          </w:p>
          <w:p w14:paraId="25C72E42" w14:textId="77777777" w:rsidR="00071D53" w:rsidRPr="00F86D57" w:rsidRDefault="00071D53" w:rsidP="00071D5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F86D57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Jan 21 (114 points)</w:t>
            </w:r>
          </w:p>
          <w:p w14:paraId="44844944" w14:textId="079D6E4E" w:rsidR="00071D53" w:rsidRDefault="00071D53" w:rsidP="00071D5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F86D57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July 21 (130 points) </w:t>
            </w:r>
          </w:p>
          <w:p w14:paraId="740DEEA6" w14:textId="3D9D5A09" w:rsidR="00F86D57" w:rsidRPr="00071D53" w:rsidRDefault="00F86D57" w:rsidP="00071D5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F86D57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Jan 22 (126 points)</w:t>
            </w:r>
          </w:p>
        </w:tc>
        <w:tc>
          <w:tcPr>
            <w:tcW w:w="1467" w:type="dxa"/>
            <w:tcBorders>
              <w:bottom w:val="single" w:sz="12" w:space="0" w:color="434549"/>
            </w:tcBorders>
            <w:tcMar>
              <w:left w:w="144" w:type="dxa"/>
              <w:right w:w="144" w:type="dxa"/>
            </w:tcMar>
            <w:vAlign w:val="center"/>
          </w:tcPr>
          <w:p w14:paraId="6FB77513" w14:textId="56396C5B" w:rsidR="001806F1" w:rsidRPr="006334F5" w:rsidRDefault="00F86D57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No- </w:t>
            </w:r>
            <w:r w:rsidR="00870345" w:rsidRPr="0087034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People begin to cut back on spending </w:t>
            </w:r>
            <w:proofErr w:type="gramStart"/>
            <w:r w:rsidR="00870345" w:rsidRPr="0087034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as a result of</w:t>
            </w:r>
            <w:proofErr w:type="gramEnd"/>
            <w:r w:rsidR="00870345" w:rsidRPr="0087034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 a decrease in consumer confidence in their financial futures; Businesses suffer as sales begin to decline as a result of this.</w:t>
            </w:r>
          </w:p>
          <w:p w14:paraId="49131C8D" w14:textId="26A1902D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dxa"/>
            <w:tcBorders>
              <w:bottom w:val="single" w:sz="12" w:space="0" w:color="434549"/>
            </w:tcBorders>
            <w:tcMar>
              <w:left w:w="144" w:type="dxa"/>
              <w:right w:w="144" w:type="dxa"/>
            </w:tcMar>
            <w:vAlign w:val="center"/>
          </w:tcPr>
          <w:p w14:paraId="7765F430" w14:textId="77777777" w:rsidR="008A5E35" w:rsidRPr="008A5E35" w:rsidRDefault="008A5E35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8A5E3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 xml:space="preserve">Consumer confidence in Turkey decreased from 76.6 in November 2022 to 75.6 in December 2022. </w:t>
            </w:r>
          </w:p>
          <w:p w14:paraId="45DDD049" w14:textId="77777777" w:rsidR="008A5E35" w:rsidRPr="008A5E35" w:rsidRDefault="008A5E35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</w:p>
          <w:p w14:paraId="7D3B166D" w14:textId="004238D3" w:rsidR="001806F1" w:rsidRPr="00C91982" w:rsidRDefault="008A5E35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 w:rsidRPr="008A5E3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 xml:space="preserve">Monthly </w:t>
            </w:r>
          </w:p>
        </w:tc>
        <w:tc>
          <w:tcPr>
            <w:tcW w:w="1728" w:type="dxa"/>
            <w:tcBorders>
              <w:bottom w:val="single" w:sz="12" w:space="0" w:color="434549"/>
            </w:tcBorders>
            <w:tcMar>
              <w:left w:w="144" w:type="dxa"/>
              <w:right w:w="144" w:type="dxa"/>
            </w:tcMar>
            <w:vAlign w:val="center"/>
          </w:tcPr>
          <w:p w14:paraId="63780E18" w14:textId="77777777" w:rsidR="00071D53" w:rsidRPr="008A5E35" w:rsidRDefault="00071D53" w:rsidP="00071D5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8A5E3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 xml:space="preserve">Sept 2022 (72.4 points) </w:t>
            </w:r>
          </w:p>
          <w:p w14:paraId="1274DB86" w14:textId="77777777" w:rsidR="00071D53" w:rsidRPr="008A5E35" w:rsidRDefault="00071D53" w:rsidP="00071D5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8A5E3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Oct 2022 (76.2 points)</w:t>
            </w:r>
          </w:p>
          <w:p w14:paraId="2A8FA34A" w14:textId="70E53545" w:rsidR="00071D53" w:rsidRDefault="00071D53" w:rsidP="00071D5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8A5E3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Nov 2022 (76.6 points)</w:t>
            </w:r>
          </w:p>
          <w:p w14:paraId="5ED83F31" w14:textId="2439847D" w:rsidR="001806F1" w:rsidRPr="00071D53" w:rsidRDefault="008A5E35" w:rsidP="00071D5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</w:pPr>
            <w:r w:rsidRPr="008A5E3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20"/>
              </w:rPr>
              <w:t>Dec 2022 (75.6 points)</w:t>
            </w:r>
          </w:p>
        </w:tc>
        <w:tc>
          <w:tcPr>
            <w:tcW w:w="1477" w:type="dxa"/>
            <w:tcBorders>
              <w:bottom w:val="single" w:sz="12" w:space="0" w:color="434549"/>
            </w:tcBorders>
            <w:tcMar>
              <w:left w:w="144" w:type="dxa"/>
              <w:right w:w="144" w:type="dxa"/>
            </w:tcMar>
            <w:vAlign w:val="center"/>
          </w:tcPr>
          <w:p w14:paraId="1AECD377" w14:textId="2DBDDB9C" w:rsidR="001806F1" w:rsidRPr="006334F5" w:rsidRDefault="008A5E35" w:rsidP="001806F1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 xml:space="preserve">Yes- its healthy pattern since there is no as such decline. </w:t>
            </w:r>
            <w:r w:rsidRPr="008A5E35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  <w:t>It aids in keeping the economy expanding.</w:t>
            </w:r>
          </w:p>
          <w:p w14:paraId="54DBDED8" w14:textId="1F24D622" w:rsidR="001806F1" w:rsidRPr="00C91982" w:rsidRDefault="001806F1" w:rsidP="001806F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23C3E8A" w14:textId="5FC94E2E" w:rsidR="00373147" w:rsidRPr="008C226C" w:rsidRDefault="00373147" w:rsidP="00FA3F3F">
      <w:pPr>
        <w:widowControl w:val="0"/>
        <w:autoSpaceDE w:val="0"/>
        <w:autoSpaceDN w:val="0"/>
        <w:adjustRightInd w:val="0"/>
        <w:spacing w:before="240" w:after="240"/>
        <w:rPr>
          <w:rFonts w:ascii="Arial" w:hAnsi="Arial" w:cs="Arial"/>
          <w:iCs/>
          <w:color w:val="262626" w:themeColor="text1" w:themeTint="D9"/>
          <w:sz w:val="22"/>
          <w:szCs w:val="22"/>
        </w:rPr>
      </w:pPr>
    </w:p>
    <w:p w14:paraId="48C92423" w14:textId="7358B0B4" w:rsidR="008C226C" w:rsidRPr="008C226C" w:rsidRDefault="008C226C" w:rsidP="00FA3F3F">
      <w:pPr>
        <w:widowControl w:val="0"/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iCs/>
          <w:color w:val="262626" w:themeColor="text1" w:themeTint="D9"/>
          <w:sz w:val="22"/>
          <w:szCs w:val="22"/>
        </w:rPr>
      </w:pPr>
      <w:r w:rsidRPr="008C226C">
        <w:rPr>
          <w:rFonts w:ascii="Arial" w:hAnsi="Arial" w:cs="Arial"/>
          <w:b/>
          <w:bCs/>
          <w:iCs/>
          <w:color w:val="262626" w:themeColor="text1" w:themeTint="D9"/>
          <w:sz w:val="22"/>
          <w:szCs w:val="22"/>
        </w:rPr>
        <w:t>Sources:</w:t>
      </w:r>
    </w:p>
    <w:p w14:paraId="405CB2F9" w14:textId="015D5CEA" w:rsidR="008C226C" w:rsidRPr="008C226C" w:rsidRDefault="008C226C" w:rsidP="008C226C">
      <w:pPr>
        <w:pStyle w:val="ListParagraph"/>
        <w:numPr>
          <w:ilvl w:val="0"/>
          <w:numId w:val="24"/>
        </w:numPr>
        <w:spacing w:after="60"/>
        <w:rPr>
          <w:rFonts w:ascii="Arial" w:hAnsi="Arial" w:cs="Arial"/>
          <w:iCs/>
          <w:color w:val="262626" w:themeColor="text1" w:themeTint="D9"/>
          <w:sz w:val="22"/>
          <w:szCs w:val="22"/>
        </w:rPr>
      </w:pPr>
      <w:r w:rsidRPr="008C226C">
        <w:rPr>
          <w:rFonts w:ascii="Arial" w:hAnsi="Arial" w:cs="Arial"/>
          <w:iCs/>
          <w:color w:val="262626" w:themeColor="text1" w:themeTint="D9"/>
          <w:sz w:val="22"/>
          <w:szCs w:val="22"/>
        </w:rPr>
        <w:t xml:space="preserve">Trading Economics website (http://www.tradingeconomics.com) </w:t>
      </w:r>
    </w:p>
    <w:p w14:paraId="3F4AC10A" w14:textId="22921AA4" w:rsidR="008C226C" w:rsidRPr="008C226C" w:rsidRDefault="008C226C" w:rsidP="008C226C">
      <w:pPr>
        <w:pStyle w:val="ListParagraph"/>
        <w:numPr>
          <w:ilvl w:val="0"/>
          <w:numId w:val="24"/>
        </w:numPr>
        <w:spacing w:after="60"/>
        <w:rPr>
          <w:rFonts w:ascii="Arial" w:hAnsi="Arial" w:cs="Arial"/>
          <w:iCs/>
          <w:color w:val="262626" w:themeColor="text1" w:themeTint="D9"/>
          <w:sz w:val="22"/>
          <w:szCs w:val="22"/>
        </w:rPr>
      </w:pPr>
      <w:r w:rsidRPr="008C226C">
        <w:rPr>
          <w:rFonts w:ascii="Arial" w:hAnsi="Arial" w:cs="Arial"/>
          <w:iCs/>
          <w:color w:val="262626" w:themeColor="text1" w:themeTint="D9"/>
          <w:sz w:val="22"/>
          <w:szCs w:val="22"/>
        </w:rPr>
        <w:t>FRED (https://fred.stlouisfed.org/)</w:t>
      </w:r>
    </w:p>
    <w:p w14:paraId="31DC7A85" w14:textId="019DDF36" w:rsidR="008C226C" w:rsidRPr="008C226C" w:rsidRDefault="008C226C" w:rsidP="008C226C">
      <w:pPr>
        <w:pStyle w:val="ListParagraph"/>
        <w:numPr>
          <w:ilvl w:val="0"/>
          <w:numId w:val="24"/>
        </w:numPr>
        <w:rPr>
          <w:rFonts w:ascii="Arial" w:eastAsia="MS Mincho" w:hAnsi="Arial" w:cs="Arial"/>
          <w:iCs/>
          <w:color w:val="262626" w:themeColor="text1" w:themeTint="D9"/>
          <w:sz w:val="22"/>
          <w:szCs w:val="22"/>
          <w:lang w:eastAsia="ja-JP"/>
        </w:rPr>
      </w:pPr>
      <w:r w:rsidRPr="008C226C">
        <w:rPr>
          <w:rFonts w:ascii="Arial" w:eastAsia="MS Mincho" w:hAnsi="Arial" w:cs="Arial"/>
          <w:iCs/>
          <w:color w:val="262626" w:themeColor="text1" w:themeTint="D9"/>
          <w:sz w:val="22"/>
          <w:szCs w:val="22"/>
          <w:lang w:eastAsia="ja-JP"/>
        </w:rPr>
        <w:t>World Factbook (https://www.cia.gov/the-world-factbook/)</w:t>
      </w:r>
    </w:p>
    <w:p w14:paraId="2C7FDD62" w14:textId="77777777" w:rsidR="008C226C" w:rsidRPr="008C226C" w:rsidRDefault="008C226C" w:rsidP="00FA3F3F">
      <w:pPr>
        <w:widowControl w:val="0"/>
        <w:autoSpaceDE w:val="0"/>
        <w:autoSpaceDN w:val="0"/>
        <w:adjustRightInd w:val="0"/>
        <w:spacing w:before="240" w:after="240"/>
        <w:rPr>
          <w:rFonts w:ascii="Arial" w:eastAsiaTheme="minorHAnsi" w:hAnsi="Arial" w:cs="Arial"/>
          <w:b/>
          <w:bCs/>
          <w:iCs/>
          <w:color w:val="7F7F7F" w:themeColor="text1" w:themeTint="80"/>
          <w:sz w:val="44"/>
          <w:szCs w:val="44"/>
        </w:rPr>
      </w:pPr>
    </w:p>
    <w:sectPr w:rsidR="008C226C" w:rsidRPr="008C226C" w:rsidSect="00026A0B">
      <w:headerReference w:type="default" r:id="rId14"/>
      <w:footerReference w:type="default" r:id="rId15"/>
      <w:pgSz w:w="15840" w:h="12240" w:orient="landscape" w:code="1"/>
      <w:pgMar w:top="1080" w:right="994" w:bottom="1296" w:left="1152" w:header="432" w:footer="6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63F53" w14:textId="77777777" w:rsidR="00F2091B" w:rsidRDefault="00F2091B" w:rsidP="00FE5E7E">
      <w:r>
        <w:separator/>
      </w:r>
    </w:p>
  </w:endnote>
  <w:endnote w:type="continuationSeparator" w:id="0">
    <w:p w14:paraId="5BED7FA0" w14:textId="77777777" w:rsidR="00F2091B" w:rsidRDefault="00F2091B" w:rsidP="00FE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6C32" w14:textId="24CA471F" w:rsidR="001B12E9" w:rsidRPr="00633EE3" w:rsidRDefault="001B12E9" w:rsidP="00DB3BCC">
    <w:r>
      <w:rPr>
        <w:rFonts w:ascii="Arial" w:hAnsi="Arial" w:cs="Arial"/>
        <w:sz w:val="15"/>
        <w:szCs w:val="15"/>
      </w:rPr>
      <w:t>©</w:t>
    </w:r>
    <w:r w:rsidRPr="00C4683D">
      <w:rPr>
        <w:rFonts w:ascii="Arial" w:hAnsi="Arial" w:cs="Arial"/>
        <w:sz w:val="15"/>
        <w:szCs w:val="15"/>
      </w:rPr>
      <w:t xml:space="preserve"> Strayer University. All Rights Reserved. This document contains Strayer University </w:t>
    </w:r>
    <w:r>
      <w:rPr>
        <w:rFonts w:ascii="Arial" w:hAnsi="Arial" w:cs="Arial"/>
        <w:sz w:val="15"/>
        <w:szCs w:val="15"/>
      </w:rPr>
      <w:t>c</w:t>
    </w:r>
    <w:r w:rsidRPr="00C4683D">
      <w:rPr>
        <w:rFonts w:ascii="Arial" w:hAnsi="Arial" w:cs="Arial"/>
        <w:sz w:val="15"/>
        <w:szCs w:val="15"/>
      </w:rPr>
      <w:t xml:space="preserve">onfidential and </w:t>
    </w:r>
    <w:r>
      <w:rPr>
        <w:rFonts w:ascii="Arial" w:hAnsi="Arial" w:cs="Arial"/>
        <w:sz w:val="15"/>
        <w:szCs w:val="15"/>
      </w:rPr>
      <w:t>p</w:t>
    </w:r>
    <w:r w:rsidRPr="00C4683D">
      <w:rPr>
        <w:rFonts w:ascii="Arial" w:hAnsi="Arial" w:cs="Arial"/>
        <w:sz w:val="15"/>
        <w:szCs w:val="15"/>
      </w:rPr>
      <w:t>roprietary information and may not be copied, further distributed, or otherwise disclosed</w:t>
    </w:r>
    <w:r>
      <w:rPr>
        <w:rFonts w:ascii="Arial" w:hAnsi="Arial" w:cs="Arial"/>
        <w:sz w:val="15"/>
        <w:szCs w:val="15"/>
      </w:rPr>
      <w:t>,</w:t>
    </w:r>
    <w:r w:rsidRPr="00C4683D">
      <w:rPr>
        <w:rFonts w:ascii="Arial" w:hAnsi="Arial" w:cs="Arial"/>
        <w:sz w:val="15"/>
        <w:szCs w:val="15"/>
      </w:rPr>
      <w:t xml:space="preserve"> in whole or in part, without the expressed written permission of Strayer University.</w:t>
    </w:r>
    <w:r>
      <w:rPr>
        <w:rFonts w:ascii="Arial" w:hAnsi="Arial" w:cs="Arial"/>
        <w:sz w:val="15"/>
        <w:szCs w:val="15"/>
      </w:rPr>
      <w:t xml:space="preserve"> This document is subject to change based on the needs of the class.</w:t>
    </w:r>
  </w:p>
  <w:p w14:paraId="4C068B16" w14:textId="77777777" w:rsidR="001B12E9" w:rsidRPr="00C4683D" w:rsidRDefault="001B12E9" w:rsidP="00DB3BCC">
    <w:pPr>
      <w:pStyle w:val="Footer"/>
      <w:rPr>
        <w:rFonts w:ascii="Arial" w:hAnsi="Arial" w:cs="Arial"/>
        <w:sz w:val="15"/>
        <w:szCs w:val="15"/>
      </w:rPr>
    </w:pPr>
  </w:p>
  <w:p w14:paraId="3212AB6D" w14:textId="4304DC4C" w:rsidR="001B12E9" w:rsidRDefault="001B12E9" w:rsidP="006334F5">
    <w:pPr>
      <w:pBdr>
        <w:top w:val="single" w:sz="4" w:space="1" w:color="auto"/>
      </w:pBdr>
      <w:tabs>
        <w:tab w:val="left" w:pos="112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0BEF08E9" w14:textId="13254354" w:rsidR="001B12E9" w:rsidRDefault="001B12E9" w:rsidP="00DB3BCC">
    <w:pPr>
      <w:pBdr>
        <w:top w:val="single" w:sz="4" w:space="1" w:color="auto"/>
      </w:pBdr>
      <w:tabs>
        <w:tab w:val="right" w:pos="9360"/>
      </w:tabs>
    </w:pPr>
    <w:r>
      <w:rPr>
        <w:rFonts w:ascii="Arial" w:hAnsi="Arial" w:cs="Arial"/>
        <w:sz w:val="16"/>
        <w:szCs w:val="16"/>
      </w:rPr>
      <w:t>JWMI 515 – GUIDES Worksheet (1214)</w:t>
    </w:r>
    <w:r>
      <w:tab/>
    </w:r>
    <w:r>
      <w:tab/>
    </w:r>
    <w:r>
      <w:tab/>
    </w:r>
    <w:r>
      <w:tab/>
    </w:r>
    <w:r w:rsidRPr="00B567B4">
      <w:rPr>
        <w:rFonts w:ascii="Arial" w:hAnsi="Arial" w:cs="Arial"/>
        <w:sz w:val="16"/>
        <w:szCs w:val="16"/>
      </w:rPr>
      <w:t xml:space="preserve">Page </w:t>
    </w:r>
    <w:r w:rsidRPr="00B567B4">
      <w:rPr>
        <w:rFonts w:ascii="Arial" w:hAnsi="Arial" w:cs="Arial"/>
        <w:sz w:val="16"/>
        <w:szCs w:val="16"/>
      </w:rPr>
      <w:fldChar w:fldCharType="begin"/>
    </w:r>
    <w:r w:rsidRPr="00B567B4">
      <w:rPr>
        <w:rFonts w:ascii="Arial" w:hAnsi="Arial" w:cs="Arial"/>
        <w:sz w:val="16"/>
        <w:szCs w:val="16"/>
      </w:rPr>
      <w:instrText xml:space="preserve"> PAGE </w:instrText>
    </w:r>
    <w:r w:rsidRPr="00B567B4">
      <w:rPr>
        <w:rFonts w:ascii="Arial" w:hAnsi="Arial" w:cs="Arial"/>
        <w:sz w:val="16"/>
        <w:szCs w:val="16"/>
      </w:rPr>
      <w:fldChar w:fldCharType="separate"/>
    </w:r>
    <w:r w:rsidR="00870345">
      <w:rPr>
        <w:rFonts w:ascii="Arial" w:hAnsi="Arial" w:cs="Arial"/>
        <w:noProof/>
        <w:sz w:val="16"/>
        <w:szCs w:val="16"/>
      </w:rPr>
      <w:t>17</w:t>
    </w:r>
    <w:r w:rsidRPr="00B567B4">
      <w:rPr>
        <w:rFonts w:ascii="Arial" w:hAnsi="Arial" w:cs="Arial"/>
        <w:sz w:val="16"/>
        <w:szCs w:val="16"/>
      </w:rPr>
      <w:fldChar w:fldCharType="end"/>
    </w:r>
    <w:r w:rsidRPr="00B567B4">
      <w:rPr>
        <w:rFonts w:ascii="Arial" w:hAnsi="Arial" w:cs="Arial"/>
        <w:sz w:val="16"/>
        <w:szCs w:val="16"/>
      </w:rPr>
      <w:t xml:space="preserve"> of </w:t>
    </w:r>
    <w:r w:rsidRPr="00B567B4">
      <w:rPr>
        <w:rFonts w:ascii="Arial" w:hAnsi="Arial" w:cs="Arial"/>
        <w:sz w:val="16"/>
        <w:szCs w:val="16"/>
      </w:rPr>
      <w:fldChar w:fldCharType="begin"/>
    </w:r>
    <w:r w:rsidRPr="00B567B4">
      <w:rPr>
        <w:rFonts w:ascii="Arial" w:hAnsi="Arial" w:cs="Arial"/>
        <w:sz w:val="16"/>
        <w:szCs w:val="16"/>
      </w:rPr>
      <w:instrText xml:space="preserve"> NUMPAGES  </w:instrText>
    </w:r>
    <w:r w:rsidRPr="00B567B4">
      <w:rPr>
        <w:rFonts w:ascii="Arial" w:hAnsi="Arial" w:cs="Arial"/>
        <w:sz w:val="16"/>
        <w:szCs w:val="16"/>
      </w:rPr>
      <w:fldChar w:fldCharType="separate"/>
    </w:r>
    <w:r w:rsidR="00870345">
      <w:rPr>
        <w:rFonts w:ascii="Arial" w:hAnsi="Arial" w:cs="Arial"/>
        <w:noProof/>
        <w:sz w:val="16"/>
        <w:szCs w:val="16"/>
      </w:rPr>
      <w:t>18</w:t>
    </w:r>
    <w:r w:rsidRPr="00B567B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EDAF7" w14:textId="77777777" w:rsidR="00F2091B" w:rsidRDefault="00F2091B" w:rsidP="00FE5E7E">
      <w:r>
        <w:separator/>
      </w:r>
    </w:p>
  </w:footnote>
  <w:footnote w:type="continuationSeparator" w:id="0">
    <w:p w14:paraId="4855D3F0" w14:textId="77777777" w:rsidR="00F2091B" w:rsidRDefault="00F2091B" w:rsidP="00FE5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158" w:type="dxa"/>
      <w:tblLayout w:type="fixed"/>
      <w:tblLook w:val="04A0" w:firstRow="1" w:lastRow="0" w:firstColumn="1" w:lastColumn="0" w:noHBand="0" w:noVBand="1"/>
    </w:tblPr>
    <w:tblGrid>
      <w:gridCol w:w="1547"/>
      <w:gridCol w:w="11611"/>
    </w:tblGrid>
    <w:tr w:rsidR="001B12E9" w14:paraId="4E9A0DD4" w14:textId="77777777" w:rsidTr="00EC5F70">
      <w:trPr>
        <w:trHeight w:val="1257"/>
      </w:trPr>
      <w:tc>
        <w:tcPr>
          <w:tcW w:w="1547" w:type="dxa"/>
          <w:hideMark/>
        </w:tcPr>
        <w:p w14:paraId="6CDB170E" w14:textId="770D2C52" w:rsidR="001B12E9" w:rsidRDefault="001B12E9" w:rsidP="00676E79">
          <w:pPr>
            <w:pStyle w:val="Header"/>
            <w:rPr>
              <w:rFonts w:ascii="Arial" w:hAnsi="Arial" w:cs="Arial"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4F6A4A43" wp14:editId="3BAFCB93">
                <wp:extent cx="846455" cy="84645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455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11" w:type="dxa"/>
          <w:vAlign w:val="center"/>
          <w:hideMark/>
        </w:tcPr>
        <w:p w14:paraId="2C1052B9" w14:textId="77777777" w:rsidR="001B12E9" w:rsidRDefault="001B12E9" w:rsidP="00AE2F38">
          <w:pPr>
            <w:pStyle w:val="Header"/>
            <w:pBdr>
              <w:bottom w:val="single" w:sz="12" w:space="1" w:color="9E1E18"/>
            </w:pBdr>
            <w:tabs>
              <w:tab w:val="clear" w:pos="4680"/>
              <w:tab w:val="clear" w:pos="9360"/>
            </w:tabs>
            <w:ind w:right="72"/>
            <w:rPr>
              <w:rFonts w:ascii="Arial" w:hAnsi="Arial" w:cs="Arial"/>
              <w:i/>
              <w:sz w:val="28"/>
              <w:szCs w:val="28"/>
            </w:rPr>
          </w:pPr>
          <w:r>
            <w:rPr>
              <w:rFonts w:ascii="Arial" w:hAnsi="Arial" w:cs="Arial"/>
              <w:i/>
              <w:sz w:val="28"/>
              <w:szCs w:val="28"/>
            </w:rPr>
            <w:t xml:space="preserve">JWI 515: </w:t>
          </w:r>
          <w:r w:rsidRPr="00F7662B">
            <w:rPr>
              <w:rFonts w:ascii="Arial" w:hAnsi="Arial" w:cs="Arial"/>
              <w:i/>
              <w:sz w:val="28"/>
              <w:szCs w:val="28"/>
            </w:rPr>
            <w:t>Managerial Economics</w:t>
          </w:r>
        </w:p>
        <w:p w14:paraId="09424692" w14:textId="1EB838C2" w:rsidR="001B12E9" w:rsidRDefault="001B12E9" w:rsidP="007547AE">
          <w:pPr>
            <w:pStyle w:val="Head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GUIDES Worksheet</w:t>
          </w:r>
        </w:p>
      </w:tc>
    </w:tr>
  </w:tbl>
  <w:p w14:paraId="788B58BD" w14:textId="77777777" w:rsidR="001B12E9" w:rsidRDefault="001B12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73B8"/>
    <w:multiLevelType w:val="hybridMultilevel"/>
    <w:tmpl w:val="46549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2D5A2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5F3E"/>
    <w:multiLevelType w:val="multilevel"/>
    <w:tmpl w:val="1400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56423"/>
    <w:multiLevelType w:val="hybridMultilevel"/>
    <w:tmpl w:val="8E863ED0"/>
    <w:lvl w:ilvl="0" w:tplc="13027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945DE"/>
    <w:multiLevelType w:val="hybridMultilevel"/>
    <w:tmpl w:val="57000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06764"/>
    <w:multiLevelType w:val="hybridMultilevel"/>
    <w:tmpl w:val="8BDC2082"/>
    <w:lvl w:ilvl="0" w:tplc="1040A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B298B"/>
    <w:multiLevelType w:val="hybridMultilevel"/>
    <w:tmpl w:val="D78A4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41393"/>
    <w:multiLevelType w:val="hybridMultilevel"/>
    <w:tmpl w:val="77AC9596"/>
    <w:lvl w:ilvl="0" w:tplc="3C0040DA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5429CF"/>
    <w:multiLevelType w:val="hybridMultilevel"/>
    <w:tmpl w:val="7C58C982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32CD17C4"/>
    <w:multiLevelType w:val="multilevel"/>
    <w:tmpl w:val="FA74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96034E"/>
    <w:multiLevelType w:val="hybridMultilevel"/>
    <w:tmpl w:val="BA98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466FA"/>
    <w:multiLevelType w:val="hybridMultilevel"/>
    <w:tmpl w:val="C756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01B95"/>
    <w:multiLevelType w:val="multilevel"/>
    <w:tmpl w:val="971694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C655F4"/>
    <w:multiLevelType w:val="hybridMultilevel"/>
    <w:tmpl w:val="77F0B23E"/>
    <w:lvl w:ilvl="0" w:tplc="A596F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903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4297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008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288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2CD2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42C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B21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A6D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68570E"/>
    <w:multiLevelType w:val="hybridMultilevel"/>
    <w:tmpl w:val="53DA3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F1F5D"/>
    <w:multiLevelType w:val="hybridMultilevel"/>
    <w:tmpl w:val="C7F21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A5396"/>
    <w:multiLevelType w:val="hybridMultilevel"/>
    <w:tmpl w:val="F69A3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D3FD6"/>
    <w:multiLevelType w:val="hybridMultilevel"/>
    <w:tmpl w:val="8EF2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64B8C"/>
    <w:multiLevelType w:val="hybridMultilevel"/>
    <w:tmpl w:val="B6962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35257"/>
    <w:multiLevelType w:val="hybridMultilevel"/>
    <w:tmpl w:val="108E8CAA"/>
    <w:lvl w:ilvl="0" w:tplc="D8BC5B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53C3E"/>
    <w:multiLevelType w:val="hybridMultilevel"/>
    <w:tmpl w:val="A462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C6B6F"/>
    <w:multiLevelType w:val="hybridMultilevel"/>
    <w:tmpl w:val="974835D0"/>
    <w:lvl w:ilvl="0" w:tplc="B85AC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A2BC0C">
      <w:start w:val="161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5CB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825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3822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E009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0BC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CC8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F48B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1E0B94"/>
    <w:multiLevelType w:val="hybridMultilevel"/>
    <w:tmpl w:val="B0645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1069E"/>
    <w:multiLevelType w:val="hybridMultilevel"/>
    <w:tmpl w:val="7E04E746"/>
    <w:lvl w:ilvl="0" w:tplc="D8BC5B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913F0"/>
    <w:multiLevelType w:val="hybridMultilevel"/>
    <w:tmpl w:val="50A89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142258">
    <w:abstractNumId w:val="7"/>
  </w:num>
  <w:num w:numId="2" w16cid:durableId="417873573">
    <w:abstractNumId w:val="12"/>
  </w:num>
  <w:num w:numId="3" w16cid:durableId="1307663228">
    <w:abstractNumId w:val="0"/>
  </w:num>
  <w:num w:numId="4" w16cid:durableId="2139758293">
    <w:abstractNumId w:val="14"/>
  </w:num>
  <w:num w:numId="5" w16cid:durableId="424112796">
    <w:abstractNumId w:val="13"/>
  </w:num>
  <w:num w:numId="6" w16cid:durableId="1842088156">
    <w:abstractNumId w:val="3"/>
  </w:num>
  <w:num w:numId="7" w16cid:durableId="1006638878">
    <w:abstractNumId w:val="20"/>
  </w:num>
  <w:num w:numId="8" w16cid:durableId="1992100227">
    <w:abstractNumId w:val="21"/>
  </w:num>
  <w:num w:numId="9" w16cid:durableId="1423604170">
    <w:abstractNumId w:val="17"/>
  </w:num>
  <w:num w:numId="10" w16cid:durableId="1391688581">
    <w:abstractNumId w:val="23"/>
  </w:num>
  <w:num w:numId="11" w16cid:durableId="292374423">
    <w:abstractNumId w:val="2"/>
  </w:num>
  <w:num w:numId="12" w16cid:durableId="960527707">
    <w:abstractNumId w:val="19"/>
  </w:num>
  <w:num w:numId="13" w16cid:durableId="1826430666">
    <w:abstractNumId w:val="5"/>
  </w:num>
  <w:num w:numId="14" w16cid:durableId="526412917">
    <w:abstractNumId w:val="18"/>
  </w:num>
  <w:num w:numId="15" w16cid:durableId="2104956365">
    <w:abstractNumId w:val="22"/>
  </w:num>
  <w:num w:numId="16" w16cid:durableId="1695572828">
    <w:abstractNumId w:val="15"/>
  </w:num>
  <w:num w:numId="17" w16cid:durableId="860824652">
    <w:abstractNumId w:val="6"/>
  </w:num>
  <w:num w:numId="18" w16cid:durableId="365718521">
    <w:abstractNumId w:val="9"/>
  </w:num>
  <w:num w:numId="19" w16cid:durableId="2112895373">
    <w:abstractNumId w:val="1"/>
  </w:num>
  <w:num w:numId="20" w16cid:durableId="284773951">
    <w:abstractNumId w:val="10"/>
  </w:num>
  <w:num w:numId="21" w16cid:durableId="1681929010">
    <w:abstractNumId w:val="16"/>
  </w:num>
  <w:num w:numId="22" w16cid:durableId="587810289">
    <w:abstractNumId w:val="11"/>
  </w:num>
  <w:num w:numId="23" w16cid:durableId="1154296805">
    <w:abstractNumId w:val="8"/>
  </w:num>
  <w:num w:numId="24" w16cid:durableId="907761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wMTE3NLewMDY0NDdQ0lEKTi0uzszPAykwrwUAfS5KQSwAAAA="/>
  </w:docVars>
  <w:rsids>
    <w:rsidRoot w:val="00FE5E7E"/>
    <w:rsid w:val="00003C84"/>
    <w:rsid w:val="00010836"/>
    <w:rsid w:val="000127B6"/>
    <w:rsid w:val="0001313A"/>
    <w:rsid w:val="000151AA"/>
    <w:rsid w:val="00020D08"/>
    <w:rsid w:val="00022AB5"/>
    <w:rsid w:val="00022C3A"/>
    <w:rsid w:val="00024762"/>
    <w:rsid w:val="00026A0B"/>
    <w:rsid w:val="00032CD4"/>
    <w:rsid w:val="00032CE2"/>
    <w:rsid w:val="00042349"/>
    <w:rsid w:val="00046F33"/>
    <w:rsid w:val="000470F1"/>
    <w:rsid w:val="00051CC3"/>
    <w:rsid w:val="0005260C"/>
    <w:rsid w:val="00055F9B"/>
    <w:rsid w:val="00064B4D"/>
    <w:rsid w:val="00071D53"/>
    <w:rsid w:val="0007289B"/>
    <w:rsid w:val="000834DE"/>
    <w:rsid w:val="00084851"/>
    <w:rsid w:val="000A5D0E"/>
    <w:rsid w:val="000C1638"/>
    <w:rsid w:val="000D2AA9"/>
    <w:rsid w:val="000E2D67"/>
    <w:rsid w:val="000E3E65"/>
    <w:rsid w:val="000E546D"/>
    <w:rsid w:val="000F1281"/>
    <w:rsid w:val="00112828"/>
    <w:rsid w:val="00124F31"/>
    <w:rsid w:val="00127761"/>
    <w:rsid w:val="00130B95"/>
    <w:rsid w:val="0013301C"/>
    <w:rsid w:val="00137FD6"/>
    <w:rsid w:val="001456B0"/>
    <w:rsid w:val="00147BC0"/>
    <w:rsid w:val="001524AE"/>
    <w:rsid w:val="00154CF4"/>
    <w:rsid w:val="00157F34"/>
    <w:rsid w:val="00160A33"/>
    <w:rsid w:val="001758C9"/>
    <w:rsid w:val="001806F1"/>
    <w:rsid w:val="001923D8"/>
    <w:rsid w:val="00193C6B"/>
    <w:rsid w:val="001A415C"/>
    <w:rsid w:val="001A66EE"/>
    <w:rsid w:val="001B12E9"/>
    <w:rsid w:val="001C0DA0"/>
    <w:rsid w:val="001C6430"/>
    <w:rsid w:val="001D2BD4"/>
    <w:rsid w:val="001D6165"/>
    <w:rsid w:val="001D692E"/>
    <w:rsid w:val="001E0E33"/>
    <w:rsid w:val="001E6D06"/>
    <w:rsid w:val="001E71AC"/>
    <w:rsid w:val="001F3DB7"/>
    <w:rsid w:val="001F60AD"/>
    <w:rsid w:val="001F7121"/>
    <w:rsid w:val="002070B5"/>
    <w:rsid w:val="00210630"/>
    <w:rsid w:val="002167C6"/>
    <w:rsid w:val="00220E29"/>
    <w:rsid w:val="00225D9C"/>
    <w:rsid w:val="00254FFC"/>
    <w:rsid w:val="00262A17"/>
    <w:rsid w:val="002647FC"/>
    <w:rsid w:val="002649BE"/>
    <w:rsid w:val="002658A9"/>
    <w:rsid w:val="002822A1"/>
    <w:rsid w:val="002A3F7C"/>
    <w:rsid w:val="002A539A"/>
    <w:rsid w:val="002B0AAC"/>
    <w:rsid w:val="002B6EC9"/>
    <w:rsid w:val="002E5802"/>
    <w:rsid w:val="002F221C"/>
    <w:rsid w:val="002F7EFB"/>
    <w:rsid w:val="003038E7"/>
    <w:rsid w:val="0031030B"/>
    <w:rsid w:val="00311811"/>
    <w:rsid w:val="00321B07"/>
    <w:rsid w:val="003315A6"/>
    <w:rsid w:val="00354548"/>
    <w:rsid w:val="00363CD4"/>
    <w:rsid w:val="00373147"/>
    <w:rsid w:val="0038053B"/>
    <w:rsid w:val="0038382F"/>
    <w:rsid w:val="00393B67"/>
    <w:rsid w:val="003973B7"/>
    <w:rsid w:val="003C550D"/>
    <w:rsid w:val="003D34FD"/>
    <w:rsid w:val="003E3AF6"/>
    <w:rsid w:val="003F4DAE"/>
    <w:rsid w:val="003F76B6"/>
    <w:rsid w:val="00410997"/>
    <w:rsid w:val="00415C05"/>
    <w:rsid w:val="004175AC"/>
    <w:rsid w:val="0042243A"/>
    <w:rsid w:val="004240B1"/>
    <w:rsid w:val="0042505A"/>
    <w:rsid w:val="0042682E"/>
    <w:rsid w:val="004419A4"/>
    <w:rsid w:val="00446537"/>
    <w:rsid w:val="00471C23"/>
    <w:rsid w:val="00476CD0"/>
    <w:rsid w:val="004805B5"/>
    <w:rsid w:val="00495AC9"/>
    <w:rsid w:val="004C0B41"/>
    <w:rsid w:val="004C67E5"/>
    <w:rsid w:val="004D0FD9"/>
    <w:rsid w:val="004D3F6C"/>
    <w:rsid w:val="004D4696"/>
    <w:rsid w:val="004D785C"/>
    <w:rsid w:val="004E279D"/>
    <w:rsid w:val="004E75E5"/>
    <w:rsid w:val="004F2678"/>
    <w:rsid w:val="004F6A95"/>
    <w:rsid w:val="00504FA4"/>
    <w:rsid w:val="00507829"/>
    <w:rsid w:val="005176C2"/>
    <w:rsid w:val="00531D60"/>
    <w:rsid w:val="005364E6"/>
    <w:rsid w:val="00536F38"/>
    <w:rsid w:val="0055022C"/>
    <w:rsid w:val="005502E9"/>
    <w:rsid w:val="00550DB1"/>
    <w:rsid w:val="005525F4"/>
    <w:rsid w:val="00560297"/>
    <w:rsid w:val="00563580"/>
    <w:rsid w:val="00573063"/>
    <w:rsid w:val="00574589"/>
    <w:rsid w:val="0058214D"/>
    <w:rsid w:val="005A3C54"/>
    <w:rsid w:val="005B652D"/>
    <w:rsid w:val="005B784E"/>
    <w:rsid w:val="005C492E"/>
    <w:rsid w:val="005C4DD0"/>
    <w:rsid w:val="005C6852"/>
    <w:rsid w:val="005E0244"/>
    <w:rsid w:val="005E0D50"/>
    <w:rsid w:val="005E1311"/>
    <w:rsid w:val="005E6285"/>
    <w:rsid w:val="006040D5"/>
    <w:rsid w:val="00606653"/>
    <w:rsid w:val="0060693B"/>
    <w:rsid w:val="00610DF8"/>
    <w:rsid w:val="00614A74"/>
    <w:rsid w:val="0063066C"/>
    <w:rsid w:val="006334F5"/>
    <w:rsid w:val="00635097"/>
    <w:rsid w:val="006359F8"/>
    <w:rsid w:val="00645BCE"/>
    <w:rsid w:val="006519A0"/>
    <w:rsid w:val="00655353"/>
    <w:rsid w:val="0067124A"/>
    <w:rsid w:val="00676E79"/>
    <w:rsid w:val="00677A5C"/>
    <w:rsid w:val="00686743"/>
    <w:rsid w:val="00687B60"/>
    <w:rsid w:val="00695E6B"/>
    <w:rsid w:val="006B28BC"/>
    <w:rsid w:val="006C1FB1"/>
    <w:rsid w:val="006C6F05"/>
    <w:rsid w:val="006D0ABD"/>
    <w:rsid w:val="006D5BE5"/>
    <w:rsid w:val="006E038A"/>
    <w:rsid w:val="006E2081"/>
    <w:rsid w:val="006E23E5"/>
    <w:rsid w:val="006E655A"/>
    <w:rsid w:val="006F1E42"/>
    <w:rsid w:val="006F3444"/>
    <w:rsid w:val="006F67F2"/>
    <w:rsid w:val="007006D0"/>
    <w:rsid w:val="00713CBA"/>
    <w:rsid w:val="00724682"/>
    <w:rsid w:val="0074014E"/>
    <w:rsid w:val="0074482C"/>
    <w:rsid w:val="007547AE"/>
    <w:rsid w:val="00763311"/>
    <w:rsid w:val="007702AE"/>
    <w:rsid w:val="007838E6"/>
    <w:rsid w:val="00784F26"/>
    <w:rsid w:val="00793A30"/>
    <w:rsid w:val="00794CF9"/>
    <w:rsid w:val="007B4420"/>
    <w:rsid w:val="007D035C"/>
    <w:rsid w:val="007D3A2F"/>
    <w:rsid w:val="007F4FFC"/>
    <w:rsid w:val="00800DEB"/>
    <w:rsid w:val="00810065"/>
    <w:rsid w:val="008349C1"/>
    <w:rsid w:val="00852373"/>
    <w:rsid w:val="008608FD"/>
    <w:rsid w:val="00860A33"/>
    <w:rsid w:val="00867CF4"/>
    <w:rsid w:val="00870345"/>
    <w:rsid w:val="00874A41"/>
    <w:rsid w:val="00881C29"/>
    <w:rsid w:val="00883A44"/>
    <w:rsid w:val="00890969"/>
    <w:rsid w:val="008917FA"/>
    <w:rsid w:val="00894046"/>
    <w:rsid w:val="008A1B88"/>
    <w:rsid w:val="008A3B2F"/>
    <w:rsid w:val="008A5E35"/>
    <w:rsid w:val="008B63B5"/>
    <w:rsid w:val="008C226C"/>
    <w:rsid w:val="008C35ED"/>
    <w:rsid w:val="008D5482"/>
    <w:rsid w:val="008D73DB"/>
    <w:rsid w:val="008D7B26"/>
    <w:rsid w:val="008E4D2F"/>
    <w:rsid w:val="008E6CDA"/>
    <w:rsid w:val="009019BF"/>
    <w:rsid w:val="009146E5"/>
    <w:rsid w:val="00920F4D"/>
    <w:rsid w:val="00924187"/>
    <w:rsid w:val="00951CE7"/>
    <w:rsid w:val="00955714"/>
    <w:rsid w:val="0095695C"/>
    <w:rsid w:val="00975163"/>
    <w:rsid w:val="0097750C"/>
    <w:rsid w:val="00990627"/>
    <w:rsid w:val="00990D24"/>
    <w:rsid w:val="009B115E"/>
    <w:rsid w:val="009C0E89"/>
    <w:rsid w:val="009C4E79"/>
    <w:rsid w:val="009E1CC3"/>
    <w:rsid w:val="009E7303"/>
    <w:rsid w:val="009F2C0F"/>
    <w:rsid w:val="009F5F8E"/>
    <w:rsid w:val="00A00919"/>
    <w:rsid w:val="00A223B2"/>
    <w:rsid w:val="00A2301F"/>
    <w:rsid w:val="00A36EA3"/>
    <w:rsid w:val="00A37BC4"/>
    <w:rsid w:val="00A40581"/>
    <w:rsid w:val="00A45592"/>
    <w:rsid w:val="00A538FF"/>
    <w:rsid w:val="00A607DC"/>
    <w:rsid w:val="00A671A8"/>
    <w:rsid w:val="00A75BBA"/>
    <w:rsid w:val="00A81101"/>
    <w:rsid w:val="00A839A4"/>
    <w:rsid w:val="00A84F91"/>
    <w:rsid w:val="00AA4B92"/>
    <w:rsid w:val="00AB1A13"/>
    <w:rsid w:val="00AB1E9C"/>
    <w:rsid w:val="00AB5E1D"/>
    <w:rsid w:val="00AC44C7"/>
    <w:rsid w:val="00AD5E8D"/>
    <w:rsid w:val="00AE1FA0"/>
    <w:rsid w:val="00AE2F38"/>
    <w:rsid w:val="00AF42A4"/>
    <w:rsid w:val="00B00F3C"/>
    <w:rsid w:val="00B012D8"/>
    <w:rsid w:val="00B03EE5"/>
    <w:rsid w:val="00B108F2"/>
    <w:rsid w:val="00B13FDF"/>
    <w:rsid w:val="00B161F9"/>
    <w:rsid w:val="00B22313"/>
    <w:rsid w:val="00B230B3"/>
    <w:rsid w:val="00B2497B"/>
    <w:rsid w:val="00B27A52"/>
    <w:rsid w:val="00B3254F"/>
    <w:rsid w:val="00B33DDC"/>
    <w:rsid w:val="00B43747"/>
    <w:rsid w:val="00B44E1A"/>
    <w:rsid w:val="00B510CB"/>
    <w:rsid w:val="00B531EF"/>
    <w:rsid w:val="00B7056D"/>
    <w:rsid w:val="00B70CF8"/>
    <w:rsid w:val="00BA6935"/>
    <w:rsid w:val="00BB14F6"/>
    <w:rsid w:val="00BC44A9"/>
    <w:rsid w:val="00BD719E"/>
    <w:rsid w:val="00BE3B1E"/>
    <w:rsid w:val="00BE46FB"/>
    <w:rsid w:val="00BF4584"/>
    <w:rsid w:val="00C00001"/>
    <w:rsid w:val="00C1781E"/>
    <w:rsid w:val="00C328AD"/>
    <w:rsid w:val="00C378D2"/>
    <w:rsid w:val="00C474D6"/>
    <w:rsid w:val="00C55891"/>
    <w:rsid w:val="00C61DD9"/>
    <w:rsid w:val="00C632A8"/>
    <w:rsid w:val="00C74149"/>
    <w:rsid w:val="00C91982"/>
    <w:rsid w:val="00C956DC"/>
    <w:rsid w:val="00C966BA"/>
    <w:rsid w:val="00CA0F13"/>
    <w:rsid w:val="00CC737B"/>
    <w:rsid w:val="00CD2BC2"/>
    <w:rsid w:val="00CD44EC"/>
    <w:rsid w:val="00CD6814"/>
    <w:rsid w:val="00CE6E4D"/>
    <w:rsid w:val="00D024A4"/>
    <w:rsid w:val="00D165E2"/>
    <w:rsid w:val="00D1670C"/>
    <w:rsid w:val="00D21FD4"/>
    <w:rsid w:val="00D22C85"/>
    <w:rsid w:val="00D26FC7"/>
    <w:rsid w:val="00D3130F"/>
    <w:rsid w:val="00D456D1"/>
    <w:rsid w:val="00D46345"/>
    <w:rsid w:val="00D46E81"/>
    <w:rsid w:val="00D56E79"/>
    <w:rsid w:val="00D828C7"/>
    <w:rsid w:val="00D836DC"/>
    <w:rsid w:val="00D83B99"/>
    <w:rsid w:val="00D85A7D"/>
    <w:rsid w:val="00DA2148"/>
    <w:rsid w:val="00DA28BE"/>
    <w:rsid w:val="00DA4742"/>
    <w:rsid w:val="00DA4EBA"/>
    <w:rsid w:val="00DA5732"/>
    <w:rsid w:val="00DA58CA"/>
    <w:rsid w:val="00DB1E86"/>
    <w:rsid w:val="00DB3A2A"/>
    <w:rsid w:val="00DB3BCC"/>
    <w:rsid w:val="00DB667D"/>
    <w:rsid w:val="00DC11CC"/>
    <w:rsid w:val="00DD3B84"/>
    <w:rsid w:val="00DE2759"/>
    <w:rsid w:val="00DF26B6"/>
    <w:rsid w:val="00DF496D"/>
    <w:rsid w:val="00E0566C"/>
    <w:rsid w:val="00E14A6D"/>
    <w:rsid w:val="00E14E65"/>
    <w:rsid w:val="00E14F76"/>
    <w:rsid w:val="00E26A45"/>
    <w:rsid w:val="00E27C6F"/>
    <w:rsid w:val="00E5172F"/>
    <w:rsid w:val="00E526FE"/>
    <w:rsid w:val="00E553E4"/>
    <w:rsid w:val="00E664EF"/>
    <w:rsid w:val="00E72D69"/>
    <w:rsid w:val="00E73C33"/>
    <w:rsid w:val="00E75060"/>
    <w:rsid w:val="00E83CBA"/>
    <w:rsid w:val="00E90159"/>
    <w:rsid w:val="00E93F1F"/>
    <w:rsid w:val="00E95DB9"/>
    <w:rsid w:val="00EA6B08"/>
    <w:rsid w:val="00EB700C"/>
    <w:rsid w:val="00EC128A"/>
    <w:rsid w:val="00EC5F70"/>
    <w:rsid w:val="00ED0406"/>
    <w:rsid w:val="00EF24AA"/>
    <w:rsid w:val="00EF3F6D"/>
    <w:rsid w:val="00EF4F4B"/>
    <w:rsid w:val="00EF541D"/>
    <w:rsid w:val="00EF6DBE"/>
    <w:rsid w:val="00EF79FA"/>
    <w:rsid w:val="00F16D14"/>
    <w:rsid w:val="00F2091B"/>
    <w:rsid w:val="00F312A8"/>
    <w:rsid w:val="00F55A13"/>
    <w:rsid w:val="00F801ED"/>
    <w:rsid w:val="00F82023"/>
    <w:rsid w:val="00F86D57"/>
    <w:rsid w:val="00F8756A"/>
    <w:rsid w:val="00F876C8"/>
    <w:rsid w:val="00F912E8"/>
    <w:rsid w:val="00FA3F3F"/>
    <w:rsid w:val="00FB6991"/>
    <w:rsid w:val="00FE272B"/>
    <w:rsid w:val="00FE576C"/>
    <w:rsid w:val="00FE5A2B"/>
    <w:rsid w:val="00FE5E7E"/>
    <w:rsid w:val="00FE6309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9FAAFD"/>
  <w15:docId w15:val="{5741580A-F1EF-1649-90EA-D3ECF946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BodyText"/>
    <w:link w:val="Heading3Char"/>
    <w:qFormat/>
    <w:rsid w:val="00CC737B"/>
    <w:pPr>
      <w:keepNext/>
      <w:tabs>
        <w:tab w:val="right" w:pos="8640"/>
      </w:tabs>
      <w:spacing w:line="480" w:lineRule="auto"/>
      <w:outlineLvl w:val="2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E7E"/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E5E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E7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E5E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E7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FE5E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E7E"/>
    <w:rPr>
      <w:color w:val="74B6BC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6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D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DBE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DBE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024762"/>
    <w:rPr>
      <w:color w:val="7F95A4" w:themeColor="followedHyperlink"/>
      <w:u w:val="single"/>
    </w:rPr>
  </w:style>
  <w:style w:type="paragraph" w:styleId="Revision">
    <w:name w:val="Revision"/>
    <w:hidden/>
    <w:uiPriority w:val="99"/>
    <w:semiHidden/>
    <w:rsid w:val="00E73C3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TableGrid">
    <w:name w:val="Table Grid"/>
    <w:basedOn w:val="TableNormal"/>
    <w:rsid w:val="005E1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E3B1E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BE3B1E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92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77A5C"/>
    <w:rPr>
      <w:i/>
      <w:iCs/>
    </w:rPr>
  </w:style>
  <w:style w:type="character" w:customStyle="1" w:styleId="css-x5hiaf">
    <w:name w:val="css-x5hiaf"/>
    <w:basedOn w:val="DefaultParagraphFont"/>
    <w:rsid w:val="00CA0F13"/>
  </w:style>
  <w:style w:type="character" w:customStyle="1" w:styleId="css-278qcu">
    <w:name w:val="css-278qcu"/>
    <w:basedOn w:val="DefaultParagraphFont"/>
    <w:rsid w:val="00CA0F13"/>
  </w:style>
  <w:style w:type="character" w:customStyle="1" w:styleId="css-17l5vfv">
    <w:name w:val="css-17l5vfv"/>
    <w:basedOn w:val="DefaultParagraphFont"/>
    <w:rsid w:val="00CA0F13"/>
  </w:style>
  <w:style w:type="character" w:customStyle="1" w:styleId="css-acv5hh">
    <w:name w:val="css-acv5hh"/>
    <w:basedOn w:val="DefaultParagraphFont"/>
    <w:rsid w:val="00CA0F13"/>
  </w:style>
  <w:style w:type="character" w:customStyle="1" w:styleId="css-z4n4zn">
    <w:name w:val="css-z4n4zn"/>
    <w:basedOn w:val="DefaultParagraphFont"/>
    <w:rsid w:val="00CA0F13"/>
  </w:style>
  <w:style w:type="character" w:customStyle="1" w:styleId="css-4pa7q6">
    <w:name w:val="css-4pa7q6"/>
    <w:basedOn w:val="DefaultParagraphFont"/>
    <w:rsid w:val="00CA0F13"/>
  </w:style>
  <w:style w:type="character" w:customStyle="1" w:styleId="css-1ccok71">
    <w:name w:val="css-1ccok71"/>
    <w:basedOn w:val="DefaultParagraphFont"/>
    <w:rsid w:val="00CA0F13"/>
  </w:style>
  <w:style w:type="character" w:customStyle="1" w:styleId="css-1264nb2">
    <w:name w:val="css-1264nb2"/>
    <w:basedOn w:val="DefaultParagraphFont"/>
    <w:rsid w:val="00CA0F13"/>
  </w:style>
  <w:style w:type="character" w:customStyle="1" w:styleId="css-rtfwql">
    <w:name w:val="css-rtfwql"/>
    <w:basedOn w:val="DefaultParagraphFont"/>
    <w:rsid w:val="00CA0F13"/>
  </w:style>
  <w:style w:type="character" w:customStyle="1" w:styleId="css-sghrx5">
    <w:name w:val="css-sghrx5"/>
    <w:basedOn w:val="DefaultParagraphFont"/>
    <w:rsid w:val="00CA0F13"/>
  </w:style>
  <w:style w:type="character" w:customStyle="1" w:styleId="css-ima1mg">
    <w:name w:val="css-ima1mg"/>
    <w:basedOn w:val="DefaultParagraphFont"/>
    <w:rsid w:val="00CA0F13"/>
  </w:style>
  <w:style w:type="character" w:customStyle="1" w:styleId="css-1wigqnc">
    <w:name w:val="css-1wigqnc"/>
    <w:basedOn w:val="DefaultParagraphFont"/>
    <w:rsid w:val="00CA0F13"/>
  </w:style>
  <w:style w:type="character" w:customStyle="1" w:styleId="css-tczsq2">
    <w:name w:val="css-tczsq2"/>
    <w:basedOn w:val="DefaultParagraphFont"/>
    <w:rsid w:val="00CA0F13"/>
  </w:style>
  <w:style w:type="character" w:customStyle="1" w:styleId="css-qz9gs3">
    <w:name w:val="css-qz9gs3"/>
    <w:basedOn w:val="DefaultParagraphFont"/>
    <w:rsid w:val="00CA0F13"/>
  </w:style>
  <w:style w:type="character" w:customStyle="1" w:styleId="css-1f8sqii">
    <w:name w:val="css-1f8sqii"/>
    <w:basedOn w:val="DefaultParagraphFont"/>
    <w:rsid w:val="00CA0F13"/>
  </w:style>
  <w:style w:type="character" w:customStyle="1" w:styleId="Heading3Char">
    <w:name w:val="Heading 3 Char"/>
    <w:basedOn w:val="DefaultParagraphFont"/>
    <w:link w:val="Heading3"/>
    <w:rsid w:val="00CC737B"/>
    <w:rPr>
      <w:rFonts w:ascii="Times New Roman" w:eastAsia="Times New Roman" w:hAnsi="Times New Roman" w:cs="Times New Roman"/>
      <w:i/>
      <w:sz w:val="24"/>
    </w:rPr>
  </w:style>
  <w:style w:type="paragraph" w:customStyle="1" w:styleId="AuthorInfo">
    <w:name w:val="Author Info"/>
    <w:basedOn w:val="Normal"/>
    <w:rsid w:val="00CC737B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CC737B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3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3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45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58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1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61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7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ingeconomics.com" TargetMode="External"/><Relationship Id="rId13" Type="http://schemas.openxmlformats.org/officeDocument/2006/relationships/hyperlink" Target="http://www.tradingeconomic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radingeconomic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dingeconomic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radingeconomic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dingeconomics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eg"/><Relationship Id="rId1" Type="http://schemas.openxmlformats.org/officeDocument/2006/relationships/image" Target="../media/image2.jpeg"/><Relationship Id="rId5" Type="http://schemas.openxmlformats.org/officeDocument/2006/relationships/image" Target="../media/image6.jpeg"/><Relationship Id="rId4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Folio">
  <a:themeElements>
    <a:clrScheme name="Folio">
      <a:dk1>
        <a:sysClr val="windowText" lastClr="000000"/>
      </a:dk1>
      <a:lt1>
        <a:sysClr val="window" lastClr="FFFFFF"/>
      </a:lt1>
      <a:dk2>
        <a:srgbClr val="2D2F2B"/>
      </a:dk2>
      <a:lt2>
        <a:srgbClr val="DEDED7"/>
      </a:lt2>
      <a:accent1>
        <a:srgbClr val="294171"/>
      </a:accent1>
      <a:accent2>
        <a:srgbClr val="748CBC"/>
      </a:accent2>
      <a:accent3>
        <a:srgbClr val="8E887C"/>
      </a:accent3>
      <a:accent4>
        <a:srgbClr val="834736"/>
      </a:accent4>
      <a:accent5>
        <a:srgbClr val="5A1705"/>
      </a:accent5>
      <a:accent6>
        <a:srgbClr val="A0A16A"/>
      </a:accent6>
      <a:hlink>
        <a:srgbClr val="74B6BC"/>
      </a:hlink>
      <a:folHlink>
        <a:srgbClr val="7F95A4"/>
      </a:folHlink>
    </a:clrScheme>
    <a:fontScheme name="Folio">
      <a:majorFont>
        <a:latin typeface="Calisto MT"/>
        <a:ea typeface=""/>
        <a:cs typeface=""/>
        <a:font script="Jpan" typeface="ＭＳ 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明朝"/>
        <a:font script="Hans" typeface="宋体"/>
        <a:font script="Hant" typeface="新細明體"/>
      </a:minorFont>
    </a:fontScheme>
    <a:fmtScheme name="Folio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35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40000"/>
                <a:satMod val="120000"/>
              </a:schemeClr>
              <a:schemeClr val="phClr">
                <a:tint val="70000"/>
                <a:satMod val="300000"/>
                <a:lumMod val="110000"/>
              </a:schemeClr>
            </a:duotone>
          </a:blip>
          <a:tile tx="0" ty="0" sx="50000" sy="50000" flip="none" algn="tl"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8100" dist="25400" dir="5400000" algn="br" rotWithShape="0">
              <a:srgbClr val="000000">
                <a:alpha val="50000"/>
              </a:srgbClr>
            </a:outerShdw>
          </a:effectLst>
        </a:effectStyle>
        <a:effectStyle>
          <a:effectLst>
            <a:innerShdw blurRad="190500" dist="25400">
              <a:srgbClr val="000000">
                <a:alpha val="50000"/>
              </a:srgbClr>
            </a:innerShdw>
          </a:effectLst>
        </a:effectStyle>
      </a:effectStyleLst>
      <a:bgFillStyleLst>
        <a:blipFill rotWithShape="1">
          <a:blip xmlns:r="http://schemas.openxmlformats.org/officeDocument/2006/relationships" r:embed="rId3">
            <a:duotone>
              <a:schemeClr val="phClr">
                <a:shade val="10000"/>
                <a:satMod val="125000"/>
              </a:schemeClr>
              <a:schemeClr val="phClr">
                <a:tint val="70000"/>
                <a:satMod val="35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4">
            <a:duotone>
              <a:schemeClr val="phClr">
                <a:shade val="10000"/>
                <a:satMod val="125000"/>
              </a:schemeClr>
              <a:schemeClr val="phClr">
                <a:tint val="70000"/>
                <a:satMod val="35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5">
            <a:duotone>
              <a:schemeClr val="phClr">
                <a:shade val="3000"/>
                <a:lumMod val="10000"/>
              </a:schemeClr>
              <a:schemeClr val="phClr">
                <a:tint val="91000"/>
                <a:satMod val="500000"/>
                <a:lumMod val="125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5BA19-3C69-4FA7-8667-67056D0E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15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Strayer University</Company>
  <LinksUpToDate>false</LinksUpToDate>
  <CharactersWithSpaces>17116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Hady Al Shayeb</cp:lastModifiedBy>
  <cp:revision>12</cp:revision>
  <cp:lastPrinted>2012-11-02T17:12:00Z</cp:lastPrinted>
  <dcterms:created xsi:type="dcterms:W3CDTF">2023-01-13T17:08:00Z</dcterms:created>
  <dcterms:modified xsi:type="dcterms:W3CDTF">2023-01-13T19:40:00Z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95d95a2da58b7193f1459ab5792c8c3abb4f47dc48cfbab0d886b6e061acd681</vt:lpwstr>
  </property>
</Properties>
</file>