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6BF" w:rsidRPr="00DE123C" w:rsidRDefault="00FD46BF" w:rsidP="00FD46BF">
      <w:pPr>
        <w:pStyle w:val="Heading1"/>
        <w:rPr>
          <w:rFonts w:ascii="Times New Roman" w:hAnsi="Times New Roman" w:cs="Times New Roman"/>
          <w:sz w:val="24"/>
          <w:szCs w:val="24"/>
        </w:rPr>
      </w:pPr>
      <w:r w:rsidRPr="00DE123C">
        <w:rPr>
          <w:rFonts w:ascii="Times New Roman" w:hAnsi="Times New Roman" w:cs="Times New Roman"/>
          <w:sz w:val="24"/>
          <w:szCs w:val="24"/>
        </w:rPr>
        <w:t>Question 1</w:t>
      </w:r>
    </w:p>
    <w:p w:rsidR="00FD46BF" w:rsidRPr="00FD46BF" w:rsidRDefault="00FD46BF" w:rsidP="00FD46BF">
      <w:pPr>
        <w:rPr>
          <w:rFonts w:ascii="Times New Roman" w:hAnsi="Times New Roman" w:cs="Times New Roman"/>
          <w:b/>
          <w:bCs/>
          <w:sz w:val="24"/>
          <w:szCs w:val="24"/>
          <w:lang w:val="en-GB"/>
        </w:rPr>
      </w:pPr>
      <w:r w:rsidRPr="00FD46BF">
        <w:rPr>
          <w:rFonts w:ascii="Times New Roman" w:hAnsi="Times New Roman" w:cs="Times New Roman"/>
          <w:b/>
          <w:bCs/>
          <w:sz w:val="24"/>
          <w:szCs w:val="24"/>
          <w:lang w:val="en-GB"/>
        </w:rPr>
        <w:t>Using examples, explain how risk-based principles and methodologies can be applied to manage money laundering and terrorist financing risks within in a firm from a sector of your choice? Evaluate the practical application of a risk-based approach, presenting a strategy that is aimed at overcoming any barriers encountered when implementing a risk-based approach.</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Money laundering (ML) and terrorist financing (TF) present significant risks to internet gambling operators, requiring the implementation of powerful risk-based standards and systems. The UK Gambling Commission (UKGC) gives rules to relieve these risks, underscoring a risk-based approach (RBA) tailored to the particular weaknesses of the gambling area (UK Gambling Commission, 2023a). This exposition explores how a risk-based approach can be applied in an internet gambling operator, assesses its practical application, and presents a procedure to defeat implementation boundaries.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Risk-Based Approach in Web based Gambling</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A risk-based approach implies distinguishing, surveying, and moderating risks proportionately, guaranteeing assets are dispensed where they are generally required. With regards to web based gambling, this approach assists operators with focusing on regions with the most elevated ML and TF risks. Key parts of a risk-based approach incorporate customer due diligence (CDD), progressing monitoring, and reporting suspicious activities.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Application of Risk-Based Standards</w:t>
      </w:r>
    </w:p>
    <w:p w:rsidR="00F32E0D" w:rsidRPr="00DE123C" w:rsidRDefault="00F32E0D" w:rsidP="00B30A62">
      <w:pPr>
        <w:pStyle w:val="ListParagraph"/>
        <w:numPr>
          <w:ilvl w:val="0"/>
          <w:numId w:val="2"/>
        </w:numPr>
        <w:rPr>
          <w:rFonts w:ascii="Times New Roman" w:hAnsi="Times New Roman" w:cs="Times New Roman"/>
          <w:sz w:val="24"/>
          <w:szCs w:val="24"/>
          <w:lang w:val="en-PK"/>
        </w:rPr>
      </w:pPr>
      <w:r w:rsidRPr="00DE123C">
        <w:rPr>
          <w:rFonts w:ascii="Times New Roman" w:hAnsi="Times New Roman" w:cs="Times New Roman"/>
          <w:sz w:val="24"/>
          <w:szCs w:val="24"/>
          <w:lang w:val="en-PK"/>
        </w:rPr>
        <w:t>Customer Due Diligence (CDD): Web based gambling operators should direct intensive CDD to check the personality of their customers. This includes gathering and dissecting data like names, addresses, dates of birth, and financial details. Enhanced due diligence (EDD) ought to be applied to high-risk customers, like those with huge stores or withdrawals, politically exposed persons (</w:t>
      </w:r>
      <w:proofErr w:type="spellStart"/>
      <w:r w:rsidRPr="00DE123C">
        <w:rPr>
          <w:rFonts w:ascii="Times New Roman" w:hAnsi="Times New Roman" w:cs="Times New Roman"/>
          <w:sz w:val="24"/>
          <w:szCs w:val="24"/>
          <w:lang w:val="en-PK"/>
        </w:rPr>
        <w:t>PEPs</w:t>
      </w:r>
      <w:proofErr w:type="spellEnd"/>
      <w:r w:rsidRPr="00DE123C">
        <w:rPr>
          <w:rFonts w:ascii="Times New Roman" w:hAnsi="Times New Roman" w:cs="Times New Roman"/>
          <w:sz w:val="24"/>
          <w:szCs w:val="24"/>
          <w:lang w:val="en-PK"/>
        </w:rPr>
        <w:t>), or customers from high-risk jurisdictions (UK Gambling Commission, 2023b).</w:t>
      </w:r>
    </w:p>
    <w:p w:rsidR="00F32E0D" w:rsidRPr="00DE123C" w:rsidRDefault="00B30A62" w:rsidP="00B30A62">
      <w:pPr>
        <w:ind w:left="360"/>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another customer from a high-risk country register on the stage and stores an enormous amount of money. The operator conducts EDD by mentioning extra records, like an identification, service bills, and evidence of wellspring of assets.</w:t>
      </w:r>
    </w:p>
    <w:p w:rsidR="00F32E0D" w:rsidRPr="00DE123C" w:rsidRDefault="00F32E0D" w:rsidP="00B30A62">
      <w:pPr>
        <w:pStyle w:val="ListParagraph"/>
        <w:numPr>
          <w:ilvl w:val="0"/>
          <w:numId w:val="2"/>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Progressing Monitoring</w:t>
      </w:r>
      <w:r w:rsidRPr="00DE123C">
        <w:rPr>
          <w:rFonts w:ascii="Times New Roman" w:hAnsi="Times New Roman" w:cs="Times New Roman"/>
          <w:sz w:val="24"/>
          <w:szCs w:val="24"/>
          <w:lang w:val="en-PK"/>
        </w:rPr>
        <w:t>: Persistent monitoring of customer transactions and conduct is fundamental to distinguish suspicious activities. This incorporates setting transaction limits, utilizing robotized frameworks to signal uncommon examples, and investigating customer activities routinely.</w:t>
      </w:r>
    </w:p>
    <w:p w:rsidR="00F32E0D" w:rsidRPr="00DE123C" w:rsidRDefault="00B30A62" w:rsidP="00B30A62">
      <w:pPr>
        <w:ind w:left="360"/>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 current customer unexpectedly starts making curiously huge wagers contrasted with their past way of behaving. The robotized monitoring framework signals this activity, provoking a manual survey by the consistence group.</w:t>
      </w:r>
    </w:p>
    <w:p w:rsidR="00F32E0D" w:rsidRPr="00DE123C" w:rsidRDefault="00F32E0D" w:rsidP="00B30A62">
      <w:pPr>
        <w:pStyle w:val="ListParagraph"/>
        <w:numPr>
          <w:ilvl w:val="0"/>
          <w:numId w:val="2"/>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Reporting Suspicious Activities:</w:t>
      </w:r>
      <w:r w:rsidRPr="00DE123C">
        <w:rPr>
          <w:rFonts w:ascii="Times New Roman" w:hAnsi="Times New Roman" w:cs="Times New Roman"/>
          <w:sz w:val="24"/>
          <w:szCs w:val="24"/>
          <w:lang w:val="en-PK"/>
        </w:rPr>
        <w:t xml:space="preserve"> Operators should report suspicious transactions to the appropriate specialists, like the UK Financial Intelligence Unit (UKFIU). Suspicious Activity Reports (SARs) ought to be recorded when there is a suspicion of ML or TF.</w:t>
      </w:r>
    </w:p>
    <w:p w:rsidR="00F32E0D" w:rsidRPr="00DE123C" w:rsidRDefault="00B30A62" w:rsidP="00B30A62">
      <w:pPr>
        <w:ind w:left="360"/>
        <w:rPr>
          <w:rFonts w:ascii="Times New Roman" w:hAnsi="Times New Roman" w:cs="Times New Roman"/>
          <w:sz w:val="24"/>
          <w:szCs w:val="24"/>
          <w:lang w:val="en-PK"/>
        </w:rPr>
      </w:pPr>
      <w:r w:rsidRPr="00DE123C">
        <w:rPr>
          <w:rFonts w:ascii="Times New Roman" w:hAnsi="Times New Roman" w:cs="Times New Roman"/>
          <w:b/>
          <w:bCs/>
          <w:sz w:val="24"/>
          <w:szCs w:val="24"/>
          <w:lang w:val="en-PK"/>
        </w:rPr>
        <w:lastRenderedPageBreak/>
        <w:t>Example:</w:t>
      </w:r>
      <w:r w:rsidR="00F32E0D" w:rsidRPr="00DE123C">
        <w:rPr>
          <w:rFonts w:ascii="Times New Roman" w:hAnsi="Times New Roman" w:cs="Times New Roman"/>
          <w:sz w:val="24"/>
          <w:szCs w:val="24"/>
          <w:lang w:val="en-PK"/>
        </w:rPr>
        <w:t xml:space="preserve"> A customer repeatedly stores and pulls out huge sums without significant gambling activity. The operator documents a SAR with the UKFIU, detailing the suspicious way of behaving and relevant customer data.</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Assessment of Practical Application</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Benefits</w:t>
      </w:r>
      <w:r w:rsidR="00F32E0D" w:rsidRPr="00DE123C">
        <w:rPr>
          <w:rFonts w:ascii="Times New Roman" w:hAnsi="Times New Roman" w:cs="Times New Roman"/>
          <w:sz w:val="24"/>
          <w:szCs w:val="24"/>
          <w:lang w:val="en-PK"/>
        </w:rPr>
        <w:t>: The risk-based approach has demonstrated viable in a few regions. For example, robotized frameworks for transaction monitoring have significantly improved the location of suspicious activities. Operators who implement vigorous CDD and EDD methodology can all the more likely distinguish high-risk customers and moderate possible ML and TF risks.</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Challenges</w:t>
      </w:r>
      <w:r w:rsidRPr="00DE123C">
        <w:rPr>
          <w:rFonts w:ascii="Times New Roman" w:hAnsi="Times New Roman" w:cs="Times New Roman"/>
          <w:sz w:val="24"/>
          <w:szCs w:val="24"/>
          <w:lang w:val="en-PK"/>
        </w:rPr>
        <w:t>: Regardless of these triumphs, a few difficulties persist. High implementation costs and the requirement for consistent staff training can be significant boundaries for operators. Moreover, adjusting the requirement for exhaustive CDD with giving a consistent customer experience can challenge. Bogus up-sides from robotized frameworks can likewise lead to pointless examinations, straining assets.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Procedure to Defeat Hindrances</w:t>
      </w:r>
    </w:p>
    <w:p w:rsidR="00F32E0D" w:rsidRPr="00DE123C" w:rsidRDefault="00F32E0D" w:rsidP="00B30A62">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Enhanced Training and Mindfulness</w:t>
      </w:r>
      <w:r w:rsidRPr="00DE123C">
        <w:rPr>
          <w:rFonts w:ascii="Times New Roman" w:hAnsi="Times New Roman" w:cs="Times New Roman"/>
          <w:sz w:val="24"/>
          <w:szCs w:val="24"/>
          <w:lang w:val="en-PK"/>
        </w:rPr>
        <w:t>: Putting resources into ordinary training programs for staff guarantees they are knowledgeable in the most recent ML and TF risks, administrative necessities, and the compelling utilization of monitoring apparatuses. This training ought to cover recognizing suspicious activities, leading CDD, and documenting SARs.</w:t>
      </w:r>
    </w:p>
    <w:p w:rsidR="00F32E0D" w:rsidRPr="00DE123C" w:rsidRDefault="00B30A62" w:rsidP="00B30A62">
      <w:pPr>
        <w:pStyle w:val="ListParagraph"/>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Foster a yearly training schedule, consolidating e-learning modules, studios, and genuine contextual investigations to enhance staff understanding and ability.</w:t>
      </w:r>
    </w:p>
    <w:p w:rsidR="00F32E0D" w:rsidRPr="00DE123C" w:rsidRDefault="00F32E0D" w:rsidP="00B30A62">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Trend setting innovation Integration</w:t>
      </w:r>
      <w:r w:rsidRPr="00DE123C">
        <w:rPr>
          <w:rFonts w:ascii="Times New Roman" w:hAnsi="Times New Roman" w:cs="Times New Roman"/>
          <w:sz w:val="24"/>
          <w:szCs w:val="24"/>
          <w:lang w:val="en-PK"/>
        </w:rPr>
        <w:t>: Using cutting edge innovations, like artificial intelligence (AI) and machine learning (ML), can enhance the exactness and effectiveness of transaction monitoring frameworks. These technologies can all the more likely distinguish designs demonstrative of ML and TF, diminishing bogus up-sides.</w:t>
      </w:r>
    </w:p>
    <w:p w:rsidR="00F32E0D" w:rsidRPr="00DE123C" w:rsidRDefault="00B30A62" w:rsidP="00B30A62">
      <w:pPr>
        <w:pStyle w:val="ListParagraph"/>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Partner with technology suppliers spend significant time in AI and ML arrangements tailored to the gambling area. Routinely update and refine calculations to adjust to arising risks.</w:t>
      </w:r>
    </w:p>
    <w:p w:rsidR="00F32E0D" w:rsidRPr="00DE123C" w:rsidRDefault="00F32E0D" w:rsidP="00B30A62">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Cooperation and Data Sharing</w:t>
      </w:r>
      <w:r w:rsidRPr="00DE123C">
        <w:rPr>
          <w:rFonts w:ascii="Times New Roman" w:hAnsi="Times New Roman" w:cs="Times New Roman"/>
          <w:sz w:val="24"/>
          <w:szCs w:val="24"/>
          <w:lang w:val="en-PK"/>
        </w:rPr>
        <w:t>: Working together with different operators and administrative bodies enhances the comprehension of ML and TF risks. Data sharing can lead to all the more likely risk evaluations and more compelling relief methodologies.</w:t>
      </w:r>
    </w:p>
    <w:p w:rsidR="00F32E0D" w:rsidRPr="00DE123C" w:rsidRDefault="00B30A62" w:rsidP="00B30A62">
      <w:pPr>
        <w:pStyle w:val="ListParagraph"/>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Join industry gatherings and participate in working gatherings worked with by the UKGC. Lay out information imparting arrangements to different operators to trade anonymized information on suspicious activities and arising dangers.</w:t>
      </w:r>
    </w:p>
    <w:p w:rsidR="00F32E0D" w:rsidRPr="00DE123C" w:rsidRDefault="00F32E0D" w:rsidP="00B30A62">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Customer-Driven Approach</w:t>
      </w:r>
      <w:r w:rsidRPr="00DE123C">
        <w:rPr>
          <w:rFonts w:ascii="Times New Roman" w:hAnsi="Times New Roman" w:cs="Times New Roman"/>
          <w:sz w:val="24"/>
          <w:szCs w:val="24"/>
          <w:lang w:val="en-PK"/>
        </w:rPr>
        <w:t>: Offsetting administrative consistence with customer experience is vital. Simplifying the CDD interaction through easy to use interfaces and clear communication can lessen customer contact.</w:t>
      </w:r>
    </w:p>
    <w:p w:rsidR="00F32E0D" w:rsidRPr="00DE123C" w:rsidRDefault="00B30A62" w:rsidP="00B30A62">
      <w:pPr>
        <w:pStyle w:val="ListParagraph"/>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Create a consistent CDD process integrated into the customer enlistment and transaction venture. Utilize computerized character check apparatuses to smooth out archive confirmation without compromising security.</w:t>
      </w:r>
    </w:p>
    <w:p w:rsidR="00FD46BF" w:rsidRPr="00FD46BF"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lastRenderedPageBreak/>
        <w:t>Applying a risk-based approach to oversee ML and TF risks inside an internet gambling operator requires a far reaching comprehension of the area's particular weaknesses. By implementing strong CDD, progressing monitoring, and reporting systems, operators can relieve these risks actually. While difficulties, for example, high implementation costs and the requirement for nonstop training persist, embracing trend setting innovations, enhancing training programs, cultivating joint effort, and maintaining a customer-driven approach can defeat these obstructions. At last, a first rate risk-based approach guarantees administrative consistence as well as enhances the general security and integrity of the internet gambling area</w:t>
      </w:r>
      <w:r w:rsidR="00FD46BF" w:rsidRPr="00FD46BF">
        <w:rPr>
          <w:rFonts w:ascii="Times New Roman" w:hAnsi="Times New Roman" w:cs="Times New Roman"/>
          <w:sz w:val="24"/>
          <w:szCs w:val="24"/>
          <w:lang w:val="en-PK"/>
        </w:rPr>
        <w:t>.</w:t>
      </w:r>
    </w:p>
    <w:p w:rsidR="00FD46BF" w:rsidRPr="00FD46BF" w:rsidRDefault="00FD46BF" w:rsidP="00FD46BF">
      <w:pPr>
        <w:jc w:val="center"/>
        <w:rPr>
          <w:rFonts w:ascii="Times New Roman" w:hAnsi="Times New Roman" w:cs="Times New Roman"/>
          <w:b/>
          <w:bCs/>
          <w:sz w:val="24"/>
          <w:szCs w:val="24"/>
          <w:lang w:val="en-GB"/>
        </w:rPr>
      </w:pPr>
      <w:r w:rsidRPr="00DE123C">
        <w:rPr>
          <w:rFonts w:ascii="Times New Roman" w:hAnsi="Times New Roman" w:cs="Times New Roman"/>
          <w:b/>
          <w:bCs/>
          <w:sz w:val="24"/>
          <w:szCs w:val="24"/>
          <w:lang w:val="en-GB"/>
        </w:rPr>
        <w:t>References</w:t>
      </w:r>
    </w:p>
    <w:p w:rsidR="00FD46BF" w:rsidRPr="00FD46BF" w:rsidRDefault="00FD46BF" w:rsidP="00FD46BF">
      <w:pPr>
        <w:rPr>
          <w:rFonts w:ascii="Times New Roman" w:hAnsi="Times New Roman" w:cs="Times New Roman"/>
          <w:sz w:val="24"/>
          <w:szCs w:val="24"/>
          <w:lang w:val="en-GB"/>
        </w:rPr>
      </w:pPr>
      <w:r w:rsidRPr="00FD46BF">
        <w:rPr>
          <w:rFonts w:ascii="Times New Roman" w:hAnsi="Times New Roman" w:cs="Times New Roman"/>
          <w:sz w:val="24"/>
          <w:szCs w:val="24"/>
          <w:lang w:val="en-PK"/>
        </w:rPr>
        <w:t xml:space="preserve">UK Gambling Commission. (2023a). The prevention of money laundering and combating the financing of terrorism. </w:t>
      </w:r>
      <w:hyperlink r:id="rId5" w:history="1">
        <w:r w:rsidRPr="00FD46BF">
          <w:rPr>
            <w:rStyle w:val="Hyperlink"/>
            <w:rFonts w:ascii="Times New Roman" w:hAnsi="Times New Roman" w:cs="Times New Roman"/>
            <w:sz w:val="24"/>
            <w:szCs w:val="24"/>
            <w:lang w:val="en-GB"/>
          </w:rPr>
          <w:t>https://www.gamblingcommission.gov.uk/print/the-prevention-of-money-laundering-and-combating-the-financing-of-terrorism#34</w:t>
        </w:r>
      </w:hyperlink>
    </w:p>
    <w:p w:rsidR="00FD46BF" w:rsidRPr="00FD46BF" w:rsidRDefault="00FD46BF" w:rsidP="00FD46BF">
      <w:pPr>
        <w:rPr>
          <w:rFonts w:ascii="Times New Roman" w:hAnsi="Times New Roman" w:cs="Times New Roman"/>
          <w:sz w:val="24"/>
          <w:szCs w:val="24"/>
          <w:lang w:val="en-PK"/>
        </w:rPr>
      </w:pPr>
      <w:r w:rsidRPr="00FD46BF">
        <w:rPr>
          <w:rFonts w:ascii="Times New Roman" w:hAnsi="Times New Roman" w:cs="Times New Roman"/>
          <w:sz w:val="24"/>
          <w:szCs w:val="24"/>
          <w:lang w:val="en-PK"/>
        </w:rPr>
        <w:t xml:space="preserve">UK Gambling Commission. (2023b). The 2023 money laundering and terrorist financing risks within the British. </w:t>
      </w:r>
      <w:hyperlink r:id="rId6" w:history="1">
        <w:r w:rsidRPr="00FD46BF">
          <w:rPr>
            <w:rStyle w:val="Hyperlink"/>
            <w:rFonts w:ascii="Times New Roman" w:hAnsi="Times New Roman" w:cs="Times New Roman"/>
            <w:sz w:val="24"/>
            <w:szCs w:val="24"/>
            <w:lang w:val="en-PK"/>
          </w:rPr>
          <w:t>https://www.gamblingcommission.gov.uk/print/the-2023-money-laundering-and-terrorist-financing-risks-within-the-british</w:t>
        </w:r>
      </w:hyperlink>
    </w:p>
    <w:p w:rsidR="00EB083C" w:rsidRPr="00DE123C" w:rsidRDefault="00EB083C">
      <w:pPr>
        <w:rPr>
          <w:rFonts w:ascii="Times New Roman" w:hAnsi="Times New Roman" w:cs="Times New Roman"/>
          <w:sz w:val="24"/>
          <w:szCs w:val="24"/>
          <w:lang w:val="en-PK"/>
        </w:rPr>
      </w:pPr>
    </w:p>
    <w:p w:rsidR="00FD46BF" w:rsidRPr="00DE123C" w:rsidRDefault="00FD46BF">
      <w:pPr>
        <w:rPr>
          <w:rFonts w:ascii="Times New Roman" w:hAnsi="Times New Roman" w:cs="Times New Roman"/>
          <w:sz w:val="24"/>
          <w:szCs w:val="24"/>
          <w:lang w:val="en-PK"/>
        </w:rPr>
      </w:pPr>
    </w:p>
    <w:p w:rsidR="00FD46BF" w:rsidRPr="00DE123C" w:rsidRDefault="00FD46BF" w:rsidP="00FD46BF">
      <w:pPr>
        <w:pStyle w:val="Heading1"/>
        <w:rPr>
          <w:rFonts w:ascii="Times New Roman" w:hAnsi="Times New Roman" w:cs="Times New Roman"/>
          <w:sz w:val="24"/>
          <w:szCs w:val="24"/>
        </w:rPr>
      </w:pPr>
      <w:r w:rsidRPr="00DE123C">
        <w:rPr>
          <w:rFonts w:ascii="Times New Roman" w:hAnsi="Times New Roman" w:cs="Times New Roman"/>
          <w:sz w:val="24"/>
          <w:szCs w:val="24"/>
        </w:rPr>
        <w:t xml:space="preserve">Question 2 </w:t>
      </w:r>
    </w:p>
    <w:p w:rsidR="00FD46BF" w:rsidRPr="00FD46BF" w:rsidRDefault="00FD46BF" w:rsidP="00FD46BF">
      <w:pPr>
        <w:rPr>
          <w:rFonts w:ascii="Times New Roman" w:hAnsi="Times New Roman" w:cs="Times New Roman"/>
          <w:sz w:val="24"/>
          <w:szCs w:val="24"/>
          <w:lang w:val="en-GB"/>
        </w:rPr>
      </w:pPr>
      <w:r w:rsidRPr="00FD46BF">
        <w:rPr>
          <w:rFonts w:ascii="Times New Roman" w:hAnsi="Times New Roman" w:cs="Times New Roman"/>
          <w:b/>
          <w:bCs/>
          <w:sz w:val="24"/>
          <w:szCs w:val="24"/>
          <w:lang w:val="en-GB"/>
        </w:rPr>
        <w:t>Explain and evaluate the key components of an AML/CFT risk assessment in financial institutions. Provide practical examples and highlight the implications of a thorough risk assessment in preventing financial crime</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Anti-Money Laundering (AML) and Countering the Financing of Terrorism (CFT) risk appraisals are fundamental for financial establishments to distinguish and alleviate the risks related with financial wrongdoings. The Financial Action Team (FATF) gives a system to a risk-based approach (RBA) that assists foundations with distributing assets effectively to battle money laundering (ML) and terrorist financing (TF) (FATF, 2020). This paper explains and assesses the critical parts of an AML/CFT risk evaluation in financial establishments, gives practical examples, and features the implications of a careful risk evaluation in forestalling financial wrongdoing.</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Key Parts of an AML/CFT Risk Evaluation</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1. Distinguishing Risk Factors:</w:t>
      </w:r>
    </w:p>
    <w:p w:rsidR="00F32E0D" w:rsidRPr="00DE123C" w:rsidRDefault="00F32E0D" w:rsidP="00DE123C">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sz w:val="24"/>
          <w:szCs w:val="24"/>
          <w:lang w:val="en-PK"/>
        </w:rPr>
        <w:t>Financial establishments should recognize and comprehend the ML and TF risks they face. This includes considering different factors, for example, customer types, items and administrations, geographic areas, and transaction channels.</w:t>
      </w:r>
    </w:p>
    <w:p w:rsidR="00F32E0D" w:rsidRPr="00DE123C" w:rsidRDefault="00F32E0D" w:rsidP="00DE123C">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sz w:val="24"/>
          <w:szCs w:val="24"/>
          <w:lang w:val="en-PK"/>
        </w:rPr>
        <w:t>Customer Risk: Customers with complex business structures, high-total assets people, or politically exposed persons (</w:t>
      </w:r>
      <w:proofErr w:type="spellStart"/>
      <w:r w:rsidRPr="00DE123C">
        <w:rPr>
          <w:rFonts w:ascii="Times New Roman" w:hAnsi="Times New Roman" w:cs="Times New Roman"/>
          <w:sz w:val="24"/>
          <w:szCs w:val="24"/>
          <w:lang w:val="en-PK"/>
        </w:rPr>
        <w:t>PEPs</w:t>
      </w:r>
      <w:proofErr w:type="spellEnd"/>
      <w:r w:rsidRPr="00DE123C">
        <w:rPr>
          <w:rFonts w:ascii="Times New Roman" w:hAnsi="Times New Roman" w:cs="Times New Roman"/>
          <w:sz w:val="24"/>
          <w:szCs w:val="24"/>
          <w:lang w:val="en-PK"/>
        </w:rPr>
        <w:t>) present higher risks.</w:t>
      </w:r>
    </w:p>
    <w:p w:rsidR="00F32E0D" w:rsidRPr="00DE123C" w:rsidRDefault="00F32E0D" w:rsidP="00DE123C">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sz w:val="24"/>
          <w:szCs w:val="24"/>
          <w:lang w:val="en-PK"/>
        </w:rPr>
        <w:t>Item and Administration Risk: Items, for example, confidential banking, wire moves, and international exchange financing are more susceptible to ML and TF.</w:t>
      </w:r>
    </w:p>
    <w:p w:rsidR="00F32E0D" w:rsidRPr="00DE123C" w:rsidRDefault="00F32E0D" w:rsidP="00DE123C">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sz w:val="24"/>
          <w:szCs w:val="24"/>
          <w:lang w:val="en-PK"/>
        </w:rPr>
        <w:lastRenderedPageBreak/>
        <w:t>Geographic Risk: Nations with frail AML/CFT systems, high defilement levels, or known terrorist activities present higher risks.</w:t>
      </w:r>
    </w:p>
    <w:p w:rsidR="00F32E0D" w:rsidRPr="00DE123C" w:rsidRDefault="00F32E0D" w:rsidP="00DE123C">
      <w:pPr>
        <w:pStyle w:val="ListParagraph"/>
        <w:numPr>
          <w:ilvl w:val="0"/>
          <w:numId w:val="3"/>
        </w:numPr>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Transaction Channel Risk: Non-eye to eye transactions and the utilization of outsider </w:t>
      </w:r>
      <w:proofErr w:type="spellStart"/>
      <w:r w:rsidRPr="00DE123C">
        <w:rPr>
          <w:rFonts w:ascii="Times New Roman" w:hAnsi="Times New Roman" w:cs="Times New Roman"/>
          <w:sz w:val="24"/>
          <w:szCs w:val="24"/>
          <w:lang w:val="en-PK"/>
        </w:rPr>
        <w:t>installment</w:t>
      </w:r>
      <w:proofErr w:type="spellEnd"/>
      <w:r w:rsidRPr="00DE123C">
        <w:rPr>
          <w:rFonts w:ascii="Times New Roman" w:hAnsi="Times New Roman" w:cs="Times New Roman"/>
          <w:sz w:val="24"/>
          <w:szCs w:val="24"/>
          <w:lang w:val="en-PK"/>
        </w:rPr>
        <w:t xml:space="preserve"> processors increment ML/TF risks.</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 bank operating in different nations evaluates the risk related with customers from jurisdictions with elevated degrees of debasement and frail AML/CFT guidelines.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2. Risk Appraisal and Estimation:</w:t>
      </w:r>
    </w:p>
    <w:p w:rsidR="00F32E0D" w:rsidRPr="00DE123C" w:rsidRDefault="00F32E0D" w:rsidP="00DE123C">
      <w:pPr>
        <w:rPr>
          <w:rFonts w:ascii="Times New Roman" w:hAnsi="Times New Roman" w:cs="Times New Roman"/>
          <w:sz w:val="24"/>
          <w:szCs w:val="24"/>
          <w:lang w:val="en-PK"/>
        </w:rPr>
      </w:pPr>
      <w:r w:rsidRPr="00DE123C">
        <w:rPr>
          <w:rFonts w:ascii="Times New Roman" w:hAnsi="Times New Roman" w:cs="Times New Roman"/>
          <w:sz w:val="24"/>
          <w:szCs w:val="24"/>
          <w:lang w:val="en-PK"/>
        </w:rPr>
        <w:t>Whenever risks are recognized, they should be evaluated and estimated. This includes assessing the probability and impact of each risk factor. Quantitative and subjective techniques can be utilized to relegate risk levels (low, medium, high) to various factors.</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 financial organization utilizes a scoring framework to assess the risk level of new customers. A high-total assets individual from a high-risk country gets a higher risk score contrasted with a </w:t>
      </w:r>
      <w:proofErr w:type="spellStart"/>
      <w:r w:rsidR="00F32E0D" w:rsidRPr="00DE123C">
        <w:rPr>
          <w:rFonts w:ascii="Times New Roman" w:hAnsi="Times New Roman" w:cs="Times New Roman"/>
          <w:sz w:val="24"/>
          <w:szCs w:val="24"/>
          <w:lang w:val="en-PK"/>
        </w:rPr>
        <w:t>neighborhood</w:t>
      </w:r>
      <w:proofErr w:type="spellEnd"/>
      <w:r w:rsidR="00F32E0D" w:rsidRPr="00DE123C">
        <w:rPr>
          <w:rFonts w:ascii="Times New Roman" w:hAnsi="Times New Roman" w:cs="Times New Roman"/>
          <w:sz w:val="24"/>
          <w:szCs w:val="24"/>
          <w:lang w:val="en-PK"/>
        </w:rPr>
        <w:t xml:space="preserve"> customer with a steady business history.</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3. Risk Moderation and Controls:</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Based on the risk evaluation, foundations should implement appropriate risk moderation measures. This incorporates customer due diligence (CDD), enhanced due diligence (EDD) for high-risk customers, continuous monitoring, and the utilization of computerized frameworks to distinguish suspicious activities.</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For a high-risk customer, the foundation performs EDD by obtaining extra ID reports, checking the wellspring of assets, and going through with normal transaction surveys.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4. Consistent Monitoring and Audit:</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AML/CFT risk appraisals are not static; they require consistent monitoring and periodic audits to adjust to arising risks and changing administrative prerequisites. Organizations should refresh their risk evaluations consistently and refine their controls as needs be.</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 bank surveys its AML/CFT risk evaluation yearly, integrating new administrative direction and changing its risk relief systems based on the most recent risk patterns.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Assessment of AML/CFT Risk Appraisal</w:t>
      </w:r>
    </w:p>
    <w:p w:rsidR="00F32E0D" w:rsidRPr="00DE123C" w:rsidRDefault="00F32E0D" w:rsidP="00DE123C">
      <w:pPr>
        <w:pStyle w:val="ListParagraph"/>
        <w:numPr>
          <w:ilvl w:val="0"/>
          <w:numId w:val="6"/>
        </w:num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Adequacy:</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An intensive AML/CFT risk evaluation empowers financial establishments to distinguish and focus on high-risk regions, permitting them to successfully designate assets more. This proactive approach enhances the establishment's capacity to recognize and forestall financial violations.</w:t>
      </w:r>
    </w:p>
    <w:p w:rsidR="00F32E0D" w:rsidRPr="00DE123C" w:rsidRDefault="00F32E0D" w:rsidP="00DE123C">
      <w:pPr>
        <w:pStyle w:val="ListParagraph"/>
        <w:numPr>
          <w:ilvl w:val="0"/>
          <w:numId w:val="6"/>
        </w:num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Challenges:</w:t>
      </w:r>
    </w:p>
    <w:p w:rsidR="00F32E0D" w:rsidRPr="00DE123C" w:rsidRDefault="00F32E0D" w:rsidP="00DE123C">
      <w:pPr>
        <w:pStyle w:val="ListParagraph"/>
        <w:numPr>
          <w:ilvl w:val="1"/>
          <w:numId w:val="6"/>
        </w:numPr>
        <w:rPr>
          <w:rFonts w:ascii="Times New Roman" w:hAnsi="Times New Roman" w:cs="Times New Roman"/>
          <w:sz w:val="24"/>
          <w:szCs w:val="24"/>
          <w:lang w:val="en-PK"/>
        </w:rPr>
      </w:pPr>
      <w:r w:rsidRPr="00DE123C">
        <w:rPr>
          <w:rFonts w:ascii="Times New Roman" w:hAnsi="Times New Roman" w:cs="Times New Roman"/>
          <w:sz w:val="24"/>
          <w:szCs w:val="24"/>
          <w:lang w:val="en-PK"/>
        </w:rPr>
        <w:t>Notwithstanding the advantages, implementing an exhaustive AML/CFT risk evaluation represents a few difficulties. These include:</w:t>
      </w:r>
    </w:p>
    <w:p w:rsidR="00F32E0D" w:rsidRPr="00DE123C" w:rsidRDefault="00F32E0D" w:rsidP="00DE123C">
      <w:pPr>
        <w:pStyle w:val="ListParagraph"/>
        <w:numPr>
          <w:ilvl w:val="1"/>
          <w:numId w:val="6"/>
        </w:numPr>
        <w:rPr>
          <w:rFonts w:ascii="Times New Roman" w:hAnsi="Times New Roman" w:cs="Times New Roman"/>
          <w:sz w:val="24"/>
          <w:szCs w:val="24"/>
          <w:lang w:val="en-PK"/>
        </w:rPr>
      </w:pPr>
      <w:r w:rsidRPr="00DE123C">
        <w:rPr>
          <w:rFonts w:ascii="Times New Roman" w:hAnsi="Times New Roman" w:cs="Times New Roman"/>
          <w:sz w:val="24"/>
          <w:szCs w:val="24"/>
          <w:lang w:val="en-PK"/>
        </w:rPr>
        <w:lastRenderedPageBreak/>
        <w:t>Information Quality and Availability: Exact risk evaluations depend on great information. Inadequate or incorrect information can sabotage the adequacy of the appraisal.</w:t>
      </w:r>
    </w:p>
    <w:p w:rsidR="00F32E0D" w:rsidRPr="00DE123C" w:rsidRDefault="00F32E0D" w:rsidP="00DE123C">
      <w:pPr>
        <w:pStyle w:val="ListParagraph"/>
        <w:numPr>
          <w:ilvl w:val="1"/>
          <w:numId w:val="6"/>
        </w:numPr>
        <w:rPr>
          <w:rFonts w:ascii="Times New Roman" w:hAnsi="Times New Roman" w:cs="Times New Roman"/>
          <w:sz w:val="24"/>
          <w:szCs w:val="24"/>
          <w:lang w:val="en-PK"/>
        </w:rPr>
      </w:pPr>
      <w:r w:rsidRPr="00DE123C">
        <w:rPr>
          <w:rFonts w:ascii="Times New Roman" w:hAnsi="Times New Roman" w:cs="Times New Roman"/>
          <w:sz w:val="24"/>
          <w:szCs w:val="24"/>
          <w:lang w:val="en-PK"/>
        </w:rPr>
        <w:t>Intricacy and Asset Intensity: Leading a detailed risk evaluation is asset intensive, calling for significant investment, expertise, and technological speculation.</w:t>
      </w:r>
    </w:p>
    <w:p w:rsidR="00F32E0D" w:rsidRPr="00DE123C" w:rsidRDefault="00F32E0D" w:rsidP="00DE123C">
      <w:pPr>
        <w:pStyle w:val="ListParagraph"/>
        <w:numPr>
          <w:ilvl w:val="1"/>
          <w:numId w:val="6"/>
        </w:numPr>
        <w:rPr>
          <w:rFonts w:ascii="Times New Roman" w:hAnsi="Times New Roman" w:cs="Times New Roman"/>
          <w:sz w:val="24"/>
          <w:szCs w:val="24"/>
          <w:lang w:val="en-PK"/>
        </w:rPr>
      </w:pPr>
      <w:r w:rsidRPr="00DE123C">
        <w:rPr>
          <w:rFonts w:ascii="Times New Roman" w:hAnsi="Times New Roman" w:cs="Times New Roman"/>
          <w:sz w:val="24"/>
          <w:szCs w:val="24"/>
          <w:lang w:val="en-PK"/>
        </w:rPr>
        <w:t>Administrative Consistence: Remaining compliant with advancing AML/CFT guidelines across various jurisdictions can be testing, particularly for worldwide organizations.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Practical Examples and Implications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Example 1: Customer Due Diligence (CDD) in Retail Banking</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In retail banking, CDD includes confirming the character of customers and surveying their risk profiles. For example, when another customer opens a record, the bank gathers ID archives, confirmation of address, and data about the customer's occupation and wellspring of assets.</w:t>
      </w:r>
    </w:p>
    <w:p w:rsidR="00F32E0D" w:rsidRPr="00DE123C" w:rsidRDefault="00DE123C"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Implication:</w:t>
      </w:r>
      <w:r w:rsidR="00F32E0D" w:rsidRPr="00DE123C">
        <w:rPr>
          <w:rFonts w:ascii="Times New Roman" w:hAnsi="Times New Roman" w:cs="Times New Roman"/>
          <w:sz w:val="24"/>
          <w:szCs w:val="24"/>
          <w:lang w:val="en-PK"/>
        </w:rPr>
        <w:t xml:space="preserve"> Powerful CDD forestalls the onboarding of people engaged with ML or TF. It likewise empowers banks to recognize strange examples early, for example, a customer making continuous enormous stores conflicting with their known profile, consequently lessening the risk of financial wrongdoing.</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Example 2: Enhanced Due Diligence (EDD) for High-Risk Customers</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For high-risk customers, for example, </w:t>
      </w:r>
      <w:proofErr w:type="spellStart"/>
      <w:r w:rsidRPr="00DE123C">
        <w:rPr>
          <w:rFonts w:ascii="Times New Roman" w:hAnsi="Times New Roman" w:cs="Times New Roman"/>
          <w:sz w:val="24"/>
          <w:szCs w:val="24"/>
          <w:lang w:val="en-PK"/>
        </w:rPr>
        <w:t>PEPs</w:t>
      </w:r>
      <w:proofErr w:type="spellEnd"/>
      <w:r w:rsidRPr="00DE123C">
        <w:rPr>
          <w:rFonts w:ascii="Times New Roman" w:hAnsi="Times New Roman" w:cs="Times New Roman"/>
          <w:sz w:val="24"/>
          <w:szCs w:val="24"/>
          <w:lang w:val="en-PK"/>
        </w:rPr>
        <w:t xml:space="preserve"> or people from high-risk jurisdictions, financial foundations perform EDD. This includes more severe check processes, for example, obtaining extra distinguishing proof records, confirming the wellspring of assets in more detail, and directing normal audits of the customer's transactions.</w:t>
      </w:r>
    </w:p>
    <w:p w:rsidR="00F32E0D" w:rsidRPr="00DE123C" w:rsidRDefault="00DE123C"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Implication:</w:t>
      </w:r>
      <w:r w:rsidR="00F32E0D" w:rsidRPr="00DE123C">
        <w:rPr>
          <w:rFonts w:ascii="Times New Roman" w:hAnsi="Times New Roman" w:cs="Times New Roman"/>
          <w:sz w:val="24"/>
          <w:szCs w:val="24"/>
          <w:lang w:val="en-PK"/>
        </w:rPr>
        <w:t xml:space="preserve"> EDD guarantees that high-risk customers are dependent upon more investigation, diminishing the probability of the establishment being utilized for ML or TF. By completely understanding the customer's financial way of behaving, the foundation can all the more successfully distinguish and report suspicious activities.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Example 3: Computerized Transaction Monitoring Frameworks</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Financial foundations utilize computerized frameworks to monitor transactions progressively. These frameworks are modified to signal uncommon examples, for example, enormous transactions from a record that normally has insignificant activity or transactions that appear to be organized to try not to report edges.</w:t>
      </w:r>
    </w:p>
    <w:p w:rsidR="00F32E0D" w:rsidRPr="00DE123C" w:rsidRDefault="00DE123C"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Implication:</w:t>
      </w:r>
      <w:r w:rsidR="00F32E0D" w:rsidRPr="00DE123C">
        <w:rPr>
          <w:rFonts w:ascii="Times New Roman" w:hAnsi="Times New Roman" w:cs="Times New Roman"/>
          <w:sz w:val="24"/>
          <w:szCs w:val="24"/>
          <w:lang w:val="en-PK"/>
        </w:rPr>
        <w:t xml:space="preserve"> Mechanized frameworks enhance the establishment's capacity to immediately recognize suspicious activities. By integrating cutting edge innovations like artificial intelligence (AI) and machine learning (ML), these frameworks can improve the exactness of identifying expected ML/TF activities, in this way decreasing misleading up-sides and guaranteeing opportune reporting.</w:t>
      </w:r>
    </w:p>
    <w:p w:rsidR="00FD46BF" w:rsidRPr="00FD46BF"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An exhaustive AML/CFT risk evaluation is fundamental for financial foundations to really oversee and relieve the risks related with money laundering and terrorist financing. By distinguishing and surveying risk factors, implementing strong relief controls, and ceaselessly </w:t>
      </w:r>
      <w:r w:rsidRPr="00DE123C">
        <w:rPr>
          <w:rFonts w:ascii="Times New Roman" w:hAnsi="Times New Roman" w:cs="Times New Roman"/>
          <w:sz w:val="24"/>
          <w:szCs w:val="24"/>
          <w:lang w:val="en-PK"/>
        </w:rPr>
        <w:lastRenderedPageBreak/>
        <w:t>monitoring and exploring their risk the executives processes, foundations can enhance their capacity to forestall financial violations. While difficulties like information quality, asset intensity, and administrative consistence persist, the practical application of these risk appraisals, as demonstrated through examples like CDD, EDD, and mechanized monitoring frameworks, features their urgent job in defending the financial framework</w:t>
      </w:r>
      <w:r w:rsidR="00FD46BF" w:rsidRPr="00FD46BF">
        <w:rPr>
          <w:rFonts w:ascii="Times New Roman" w:hAnsi="Times New Roman" w:cs="Times New Roman"/>
          <w:sz w:val="24"/>
          <w:szCs w:val="24"/>
          <w:lang w:val="en-PK"/>
        </w:rPr>
        <w:t>.</w:t>
      </w:r>
    </w:p>
    <w:p w:rsidR="00FD46BF" w:rsidRPr="00FD46BF" w:rsidRDefault="00FD46BF" w:rsidP="00FD46BF">
      <w:pPr>
        <w:jc w:val="center"/>
        <w:rPr>
          <w:rFonts w:ascii="Times New Roman" w:hAnsi="Times New Roman" w:cs="Times New Roman"/>
          <w:sz w:val="24"/>
          <w:szCs w:val="24"/>
          <w:lang w:val="en-PK"/>
        </w:rPr>
      </w:pPr>
      <w:r w:rsidRPr="00FD46BF">
        <w:rPr>
          <w:rFonts w:ascii="Times New Roman" w:hAnsi="Times New Roman" w:cs="Times New Roman"/>
          <w:b/>
          <w:bCs/>
          <w:sz w:val="24"/>
          <w:szCs w:val="24"/>
          <w:lang w:val="en-PK"/>
        </w:rPr>
        <w:t>References</w:t>
      </w:r>
    </w:p>
    <w:p w:rsidR="00FD46BF" w:rsidRPr="00DE123C" w:rsidRDefault="00FD46BF" w:rsidP="00FD46BF">
      <w:pPr>
        <w:rPr>
          <w:rFonts w:ascii="Times New Roman" w:hAnsi="Times New Roman" w:cs="Times New Roman"/>
          <w:sz w:val="24"/>
          <w:szCs w:val="24"/>
          <w:lang w:val="en-PK"/>
        </w:rPr>
      </w:pPr>
      <w:r w:rsidRPr="00FD46BF">
        <w:rPr>
          <w:rFonts w:ascii="Times New Roman" w:hAnsi="Times New Roman" w:cs="Times New Roman"/>
          <w:sz w:val="24"/>
          <w:szCs w:val="24"/>
          <w:lang w:val="en-PK"/>
        </w:rPr>
        <w:t xml:space="preserve">Financial Action Task Force (FATF). (2020). </w:t>
      </w:r>
      <w:r w:rsidRPr="00FD46BF">
        <w:rPr>
          <w:rFonts w:ascii="Times New Roman" w:hAnsi="Times New Roman" w:cs="Times New Roman"/>
          <w:i/>
          <w:iCs/>
          <w:sz w:val="24"/>
          <w:szCs w:val="24"/>
          <w:lang w:val="en-PK"/>
        </w:rPr>
        <w:t>Risk-Based Approach Guidance for the Banking Sector</w:t>
      </w:r>
      <w:r w:rsidRPr="00FD46BF">
        <w:rPr>
          <w:rFonts w:ascii="Times New Roman" w:hAnsi="Times New Roman" w:cs="Times New Roman"/>
          <w:sz w:val="24"/>
          <w:szCs w:val="24"/>
          <w:lang w:val="en-PK"/>
        </w:rPr>
        <w:t xml:space="preserve">. </w:t>
      </w:r>
    </w:p>
    <w:p w:rsidR="00FD46BF" w:rsidRPr="00DE123C" w:rsidRDefault="00FD46BF" w:rsidP="00FD46BF">
      <w:pPr>
        <w:rPr>
          <w:rFonts w:ascii="Times New Roman" w:hAnsi="Times New Roman" w:cs="Times New Roman"/>
          <w:sz w:val="24"/>
          <w:szCs w:val="24"/>
          <w:lang w:val="en-PK"/>
        </w:rPr>
      </w:pPr>
    </w:p>
    <w:p w:rsidR="00FD46BF" w:rsidRPr="00DE123C" w:rsidRDefault="00FD46BF" w:rsidP="00FD46BF">
      <w:pPr>
        <w:pStyle w:val="Heading1"/>
        <w:rPr>
          <w:rFonts w:ascii="Times New Roman" w:hAnsi="Times New Roman" w:cs="Times New Roman"/>
          <w:sz w:val="24"/>
          <w:szCs w:val="24"/>
        </w:rPr>
      </w:pPr>
      <w:r w:rsidRPr="00DE123C">
        <w:rPr>
          <w:rFonts w:ascii="Times New Roman" w:hAnsi="Times New Roman" w:cs="Times New Roman"/>
          <w:sz w:val="24"/>
          <w:szCs w:val="24"/>
        </w:rPr>
        <w:t>Question 3</w:t>
      </w:r>
    </w:p>
    <w:p w:rsidR="00FD46BF" w:rsidRPr="00DE123C" w:rsidRDefault="00FD46BF" w:rsidP="00FD46BF">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Analyse the barriers that a firm, from a sector of your choice, may face in establishing and maintaining a positive AML/CFT culture. Discuss how these barriers can impede effective AML/CFT efforts and provide strategies and examples for overcoming them. Consider the role of leadership, employee engagement, regulatory challenges, and organizational culture in this context.</w:t>
      </w:r>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Laying out and maintaining a positive Anti-Money Laundering (AML) and Countering the Financing of Terrorism (CFT) culture in a web based gambling operator is vital for moderating financial wrongdoing risks. Nonetheless, a few boundaries can impede these </w:t>
      </w:r>
      <w:proofErr w:type="spellStart"/>
      <w:r w:rsidRPr="00DE123C">
        <w:rPr>
          <w:rFonts w:ascii="Times New Roman" w:hAnsi="Times New Roman" w:cs="Times New Roman"/>
          <w:sz w:val="24"/>
          <w:szCs w:val="24"/>
          <w:lang w:val="en-PK"/>
        </w:rPr>
        <w:t>endeavors</w:t>
      </w:r>
      <w:proofErr w:type="spellEnd"/>
      <w:r w:rsidRPr="00DE123C">
        <w:rPr>
          <w:rFonts w:ascii="Times New Roman" w:hAnsi="Times New Roman" w:cs="Times New Roman"/>
          <w:sz w:val="24"/>
          <w:szCs w:val="24"/>
          <w:lang w:val="en-PK"/>
        </w:rPr>
        <w:t>. This paper investigates these obstructions, discusses their impact on viable AML/CFT gauges, and gives techniques to beating them, focusing on the jobs of leadership, representative commitment, administrative difficulties, and authoritative culture.</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Hindrances to a Positive AML/CFT Culture</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Leadership Commitment and Mindfulness</w:t>
      </w:r>
      <w:r w:rsidRPr="00DE123C">
        <w:rPr>
          <w:rFonts w:ascii="Times New Roman" w:hAnsi="Times New Roman" w:cs="Times New Roman"/>
          <w:sz w:val="24"/>
          <w:szCs w:val="24"/>
          <w:lang w:val="en-PK"/>
        </w:rPr>
        <w:t>: An absence of commitment and mindfulness from leadership can significantly thwart the foundation of a hearty AML/CFT culture. Leaders set the vibe for the whole association, and their absence of commitment or comprehension of AML/CFT risks can lead to lacking asset designation and insufficient risk the board procedures (UK Gambling Commission, 2023a).</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Assuming that senior administration focuses on income age over consistence, the association might fail to put resources into vital AML/CFT frameworks and training, expanding weakness to financial wrongdoings.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Representative Commitment and Training</w:t>
      </w:r>
      <w:r w:rsidRPr="00DE123C">
        <w:rPr>
          <w:rFonts w:ascii="Times New Roman" w:hAnsi="Times New Roman" w:cs="Times New Roman"/>
          <w:sz w:val="24"/>
          <w:szCs w:val="24"/>
          <w:lang w:val="en-PK"/>
        </w:rPr>
        <w:t>: Drawing in workers and giving continuous AML/CFT training is fundamental. In any case, boundaries, for example, high turnover rates, indifference, and deficient training assets can impede representative commitment and information (FATF, 2020).</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Representatives in customer administration jobs probably won't perceive the importance of AML/CFT measures in the event that they are not sufficiently trained, leading to slips in recognizing and reporting suspicious activities.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lastRenderedPageBreak/>
        <w:t>Administrative Difficulties</w:t>
      </w:r>
      <w:r w:rsidRPr="00DE123C">
        <w:rPr>
          <w:rFonts w:ascii="Times New Roman" w:hAnsi="Times New Roman" w:cs="Times New Roman"/>
          <w:sz w:val="24"/>
          <w:szCs w:val="24"/>
          <w:lang w:val="en-PK"/>
        </w:rPr>
        <w:t>: Exploring complex and developing administrative necessities represents a significant test. Guidelines can differ across jurisdictions, and staying aware of these progressions requires substantial exertion and assets.</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A web based gambling operator authorized in various nations should conform to differing AML/CFT guidelines, making it trying to maintain reliable and viable practices across all business sectors.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Hierarchical Culture:</w:t>
      </w:r>
      <w:r w:rsidRPr="00DE123C">
        <w:rPr>
          <w:rFonts w:ascii="Times New Roman" w:hAnsi="Times New Roman" w:cs="Times New Roman"/>
          <w:sz w:val="24"/>
          <w:szCs w:val="24"/>
          <w:lang w:val="en-PK"/>
        </w:rPr>
        <w:t xml:space="preserve"> A positive AML/CFT culture requires a change in hierarchical culture, which can be challenging to accomplish. Protection from change, particularly in associations with a background marked by rebelliousness, can be a significant obstruction.</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In an association where rebelliousness was recently endured, moving towards a culture of severe adherence to AML/CFT policies can confront obstruction from representatives used to careless practices.</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 xml:space="preserve">Impact of Boundaries on Compelling AML/CFT </w:t>
      </w:r>
      <w:proofErr w:type="spellStart"/>
      <w:r w:rsidRPr="00DE123C">
        <w:rPr>
          <w:rFonts w:ascii="Times New Roman" w:hAnsi="Times New Roman" w:cs="Times New Roman"/>
          <w:b/>
          <w:bCs/>
          <w:sz w:val="24"/>
          <w:szCs w:val="24"/>
          <w:lang w:val="en-PK"/>
        </w:rPr>
        <w:t>Endeavors</w:t>
      </w:r>
      <w:proofErr w:type="spellEnd"/>
    </w:p>
    <w:p w:rsidR="00F32E0D" w:rsidRPr="00DE123C"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These boundaries can lead to a few </w:t>
      </w:r>
      <w:proofErr w:type="spellStart"/>
      <w:r w:rsidRPr="00DE123C">
        <w:rPr>
          <w:rFonts w:ascii="Times New Roman" w:hAnsi="Times New Roman" w:cs="Times New Roman"/>
          <w:sz w:val="24"/>
          <w:szCs w:val="24"/>
          <w:lang w:val="en-PK"/>
        </w:rPr>
        <w:t>unfavorable</w:t>
      </w:r>
      <w:proofErr w:type="spellEnd"/>
      <w:r w:rsidRPr="00DE123C">
        <w:rPr>
          <w:rFonts w:ascii="Times New Roman" w:hAnsi="Times New Roman" w:cs="Times New Roman"/>
          <w:sz w:val="24"/>
          <w:szCs w:val="24"/>
          <w:lang w:val="en-PK"/>
        </w:rPr>
        <w:t xml:space="preserve"> results, including expanded risk of financial wrongdoing, administrative fines, reputational harm, and operational failures. For example, lacking leadership commitment can bring about unfortunate asset distribution, while deficient training can lead to botched opportunities for distinguishing suspicious activities. Administrative resistance can bring about significant fines and endorses, further subverting the association's financial soundness and reputation (UK Gambling Commission, 2023b).</w:t>
      </w:r>
    </w:p>
    <w:p w:rsidR="00F32E0D" w:rsidRPr="00DE123C" w:rsidRDefault="00F32E0D" w:rsidP="00F32E0D">
      <w:pPr>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Techniques to Defeat Obstructions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Fortifying Leadership Commitment</w:t>
      </w:r>
      <w:r w:rsidRPr="00DE123C">
        <w:rPr>
          <w:rFonts w:ascii="Times New Roman" w:hAnsi="Times New Roman" w:cs="Times New Roman"/>
          <w:sz w:val="24"/>
          <w:szCs w:val="24"/>
          <w:lang w:val="en-PK"/>
        </w:rPr>
        <w:t>: Leadership should demonstrate serious areas of strength for a to AML/CFT by focusing on consistence, designating sufficient assets, and leading by example.</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Senior administration ought to routinely communicate the importance of AML/CFT, participate in training meetings, and guarantee that consistence objectives are integrated into the association's essential goals.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Enhancing Representative Commitment and Training</w:t>
      </w:r>
      <w:r w:rsidRPr="00DE123C">
        <w:rPr>
          <w:rFonts w:ascii="Times New Roman" w:hAnsi="Times New Roman" w:cs="Times New Roman"/>
          <w:sz w:val="24"/>
          <w:szCs w:val="24"/>
          <w:lang w:val="en-PK"/>
        </w:rPr>
        <w:t>: Fostering a far reaching training program that underscores the importance of AML/CFT and its significance to all workers is vital.</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Implement obligatory AML/CFT training programs for all workers, with particular training for high-risk jobs. Utilize interactive and practical training strategies, for example, contextual analyses and reenactments, to enhance commitment and understanding.</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Customary studios and e-learning modules can assist workers with remaining refreshed on the most recent AML/CFT guidelines and practices.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Tending to Administrative Difficulties:</w:t>
      </w:r>
      <w:r w:rsidRPr="00DE123C">
        <w:rPr>
          <w:rFonts w:ascii="Times New Roman" w:hAnsi="Times New Roman" w:cs="Times New Roman"/>
          <w:sz w:val="24"/>
          <w:szCs w:val="24"/>
          <w:lang w:val="en-PK"/>
        </w:rPr>
        <w:t xml:space="preserve"> Staying aware of administrative changes requires a proactive approach and strong consistence framework.</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lastRenderedPageBreak/>
        <w:t>Implementation:</w:t>
      </w:r>
      <w:r w:rsidR="00F32E0D" w:rsidRPr="00DE123C">
        <w:rPr>
          <w:rFonts w:ascii="Times New Roman" w:hAnsi="Times New Roman" w:cs="Times New Roman"/>
          <w:sz w:val="24"/>
          <w:szCs w:val="24"/>
          <w:lang w:val="en-PK"/>
        </w:rPr>
        <w:t xml:space="preserve"> Lay out a devoted consistence group liable for monitoring administrative updates and guaranteeing the association's policies and strategies remain compliant. Use technology to robotize consistence processes and lessen the weight on staff.</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Implementing an incorporated consistence the board framework can assist with smoothing out administrative reporting and monitoring, guaranteeing opportune adherence to developing prerequisites.</w:t>
      </w:r>
    </w:p>
    <w:p w:rsidR="00F32E0D" w:rsidRPr="00DE123C" w:rsidRDefault="00F32E0D" w:rsidP="00DE123C">
      <w:pPr>
        <w:pStyle w:val="ListParagraph"/>
        <w:numPr>
          <w:ilvl w:val="0"/>
          <w:numId w:val="6"/>
        </w:numPr>
        <w:rPr>
          <w:rFonts w:ascii="Times New Roman" w:hAnsi="Times New Roman" w:cs="Times New Roman"/>
          <w:sz w:val="24"/>
          <w:szCs w:val="24"/>
          <w:lang w:val="en-PK"/>
        </w:rPr>
      </w:pPr>
      <w:r w:rsidRPr="00DE123C">
        <w:rPr>
          <w:rFonts w:ascii="Times New Roman" w:hAnsi="Times New Roman" w:cs="Times New Roman"/>
          <w:b/>
          <w:bCs/>
          <w:sz w:val="24"/>
          <w:szCs w:val="24"/>
          <w:lang w:val="en-PK"/>
        </w:rPr>
        <w:t>Encouraging a Positive Hierarchical Culture</w:t>
      </w:r>
      <w:r w:rsidRPr="00DE123C">
        <w:rPr>
          <w:rFonts w:ascii="Times New Roman" w:hAnsi="Times New Roman" w:cs="Times New Roman"/>
          <w:sz w:val="24"/>
          <w:szCs w:val="24"/>
          <w:lang w:val="en-PK"/>
        </w:rPr>
        <w:t xml:space="preserve">: Making a culture that values consistence and moral way of behaving is fundamental for powerful AML/CFT </w:t>
      </w:r>
      <w:proofErr w:type="spellStart"/>
      <w:r w:rsidRPr="00DE123C">
        <w:rPr>
          <w:rFonts w:ascii="Times New Roman" w:hAnsi="Times New Roman" w:cs="Times New Roman"/>
          <w:sz w:val="24"/>
          <w:szCs w:val="24"/>
          <w:lang w:val="en-PK"/>
        </w:rPr>
        <w:t>endeavors</w:t>
      </w:r>
      <w:proofErr w:type="spellEnd"/>
      <w:r w:rsidRPr="00DE123C">
        <w:rPr>
          <w:rFonts w:ascii="Times New Roman" w:hAnsi="Times New Roman" w:cs="Times New Roman"/>
          <w:sz w:val="24"/>
          <w:szCs w:val="24"/>
          <w:lang w:val="en-PK"/>
        </w:rPr>
        <w:t>.</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Implementation:</w:t>
      </w:r>
      <w:r w:rsidR="00F32E0D" w:rsidRPr="00DE123C">
        <w:rPr>
          <w:rFonts w:ascii="Times New Roman" w:hAnsi="Times New Roman" w:cs="Times New Roman"/>
          <w:sz w:val="24"/>
          <w:szCs w:val="24"/>
          <w:lang w:val="en-PK"/>
        </w:rPr>
        <w:t xml:space="preserve"> Advance a culture of straightforwardness and responsibility by empowering workers to report suspicious activities unafraid of retaliation. Perceive and compensate consistence </w:t>
      </w:r>
      <w:proofErr w:type="spellStart"/>
      <w:r w:rsidR="00F32E0D" w:rsidRPr="00DE123C">
        <w:rPr>
          <w:rFonts w:ascii="Times New Roman" w:hAnsi="Times New Roman" w:cs="Times New Roman"/>
          <w:sz w:val="24"/>
          <w:szCs w:val="24"/>
          <w:lang w:val="en-PK"/>
        </w:rPr>
        <w:t>endeavors</w:t>
      </w:r>
      <w:proofErr w:type="spellEnd"/>
      <w:r w:rsidR="00F32E0D" w:rsidRPr="00DE123C">
        <w:rPr>
          <w:rFonts w:ascii="Times New Roman" w:hAnsi="Times New Roman" w:cs="Times New Roman"/>
          <w:sz w:val="24"/>
          <w:szCs w:val="24"/>
          <w:lang w:val="en-PK"/>
        </w:rPr>
        <w:t xml:space="preserve"> to support the importance of AML/CFT practices.</w:t>
      </w:r>
    </w:p>
    <w:p w:rsidR="00F32E0D" w:rsidRPr="00DE123C" w:rsidRDefault="00B30A62" w:rsidP="00F32E0D">
      <w:pPr>
        <w:rPr>
          <w:rFonts w:ascii="Times New Roman" w:hAnsi="Times New Roman" w:cs="Times New Roman"/>
          <w:sz w:val="24"/>
          <w:szCs w:val="24"/>
          <w:lang w:val="en-PK"/>
        </w:rPr>
      </w:pPr>
      <w:r w:rsidRPr="00DE123C">
        <w:rPr>
          <w:rFonts w:ascii="Times New Roman" w:hAnsi="Times New Roman" w:cs="Times New Roman"/>
          <w:b/>
          <w:bCs/>
          <w:sz w:val="24"/>
          <w:szCs w:val="24"/>
          <w:lang w:val="en-PK"/>
        </w:rPr>
        <w:t>Example:</w:t>
      </w:r>
      <w:r w:rsidR="00F32E0D" w:rsidRPr="00DE123C">
        <w:rPr>
          <w:rFonts w:ascii="Times New Roman" w:hAnsi="Times New Roman" w:cs="Times New Roman"/>
          <w:sz w:val="24"/>
          <w:szCs w:val="24"/>
          <w:lang w:val="en-PK"/>
        </w:rPr>
        <w:t xml:space="preserve"> Laying out a mysterious reporting framework for workers to report suspicious activities can enhance straightforwardness and responsibility inside the association.</w:t>
      </w:r>
    </w:p>
    <w:p w:rsidR="00FD46BF" w:rsidRPr="00FD46BF" w:rsidRDefault="00F32E0D" w:rsidP="00F32E0D">
      <w:pPr>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Laying out and maintaining a positive AML/CFT culture in a </w:t>
      </w:r>
      <w:r w:rsidR="00DE123C" w:rsidRPr="00DE123C">
        <w:rPr>
          <w:rFonts w:ascii="Times New Roman" w:hAnsi="Times New Roman" w:cs="Times New Roman"/>
          <w:sz w:val="24"/>
          <w:szCs w:val="24"/>
          <w:lang w:val="en-PK"/>
        </w:rPr>
        <w:t>web-based</w:t>
      </w:r>
      <w:r w:rsidRPr="00DE123C">
        <w:rPr>
          <w:rFonts w:ascii="Times New Roman" w:hAnsi="Times New Roman" w:cs="Times New Roman"/>
          <w:sz w:val="24"/>
          <w:szCs w:val="24"/>
          <w:lang w:val="en-PK"/>
        </w:rPr>
        <w:t xml:space="preserve"> gambling operator requires addressing a few boundaries connected with leadership, worker commitment, administrative difficulties, and hierarchical culture. By reinforcing leadership commitment, enhancing worker commitment and training, proactively tending to administrative difficulties, and cultivating a positive hierarchical culture, associations can defeat these hindrances and really moderate AML/CFT risks. Eventually, these techniques guarantee consistence with administrative prerequisites as well as shield the association from financial wrongdoing, accordingly protecting its reputation and financial security</w:t>
      </w:r>
      <w:r w:rsidR="00FD46BF" w:rsidRPr="00FD46BF">
        <w:rPr>
          <w:rFonts w:ascii="Times New Roman" w:hAnsi="Times New Roman" w:cs="Times New Roman"/>
          <w:sz w:val="24"/>
          <w:szCs w:val="24"/>
          <w:lang w:val="en-PK"/>
        </w:rPr>
        <w:t>.</w:t>
      </w:r>
    </w:p>
    <w:p w:rsidR="00FD46BF" w:rsidRPr="00FD46BF" w:rsidRDefault="00FD46BF" w:rsidP="00FD46BF">
      <w:pPr>
        <w:jc w:val="center"/>
        <w:rPr>
          <w:rFonts w:ascii="Times New Roman" w:hAnsi="Times New Roman" w:cs="Times New Roman"/>
          <w:sz w:val="24"/>
          <w:szCs w:val="24"/>
          <w:lang w:val="en-PK"/>
        </w:rPr>
      </w:pPr>
      <w:r w:rsidRPr="00FD46BF">
        <w:rPr>
          <w:rFonts w:ascii="Times New Roman" w:hAnsi="Times New Roman" w:cs="Times New Roman"/>
          <w:b/>
          <w:bCs/>
          <w:sz w:val="24"/>
          <w:szCs w:val="24"/>
          <w:lang w:val="en-PK"/>
        </w:rPr>
        <w:t>References</w:t>
      </w:r>
    </w:p>
    <w:p w:rsidR="00FD46BF" w:rsidRPr="00DE123C" w:rsidRDefault="00FD46BF" w:rsidP="00FD46BF">
      <w:pPr>
        <w:rPr>
          <w:rFonts w:ascii="Times New Roman" w:hAnsi="Times New Roman" w:cs="Times New Roman"/>
          <w:sz w:val="24"/>
          <w:szCs w:val="24"/>
          <w:lang w:val="en-PK"/>
        </w:rPr>
      </w:pPr>
      <w:r w:rsidRPr="00FD46BF">
        <w:rPr>
          <w:rFonts w:ascii="Times New Roman" w:hAnsi="Times New Roman" w:cs="Times New Roman"/>
          <w:sz w:val="24"/>
          <w:szCs w:val="24"/>
          <w:lang w:val="en-PK"/>
        </w:rPr>
        <w:t xml:space="preserve">Financial Action Task Force (FATF). (2020). </w:t>
      </w:r>
      <w:r w:rsidRPr="00FD46BF">
        <w:rPr>
          <w:rFonts w:ascii="Times New Roman" w:hAnsi="Times New Roman" w:cs="Times New Roman"/>
          <w:i/>
          <w:iCs/>
          <w:sz w:val="24"/>
          <w:szCs w:val="24"/>
          <w:lang w:val="en-PK"/>
        </w:rPr>
        <w:t>Risk-Based Approach Guidance for the Banking Sector</w:t>
      </w:r>
      <w:r w:rsidRPr="00FD46BF">
        <w:rPr>
          <w:rFonts w:ascii="Times New Roman" w:hAnsi="Times New Roman" w:cs="Times New Roman"/>
          <w:sz w:val="24"/>
          <w:szCs w:val="24"/>
          <w:lang w:val="en-PK"/>
        </w:rPr>
        <w:t xml:space="preserve">. </w:t>
      </w:r>
    </w:p>
    <w:p w:rsidR="00FD46BF" w:rsidRPr="00FD46BF" w:rsidRDefault="00FD46BF" w:rsidP="00FD46BF">
      <w:pPr>
        <w:rPr>
          <w:rFonts w:ascii="Times New Roman" w:hAnsi="Times New Roman" w:cs="Times New Roman"/>
          <w:sz w:val="24"/>
          <w:szCs w:val="24"/>
          <w:lang w:val="en-PK"/>
        </w:rPr>
      </w:pPr>
      <w:r w:rsidRPr="00FD46BF">
        <w:rPr>
          <w:rFonts w:ascii="Times New Roman" w:hAnsi="Times New Roman" w:cs="Times New Roman"/>
          <w:sz w:val="24"/>
          <w:szCs w:val="24"/>
          <w:lang w:val="en-PK"/>
        </w:rPr>
        <w:t xml:space="preserve">UK Gambling Commission. (2023a). The prevention of money laundering and combating the financing of terrorism. </w:t>
      </w:r>
      <w:hyperlink r:id="rId7" w:history="1">
        <w:r w:rsidRPr="00DE123C">
          <w:rPr>
            <w:rStyle w:val="Hyperlink"/>
            <w:rFonts w:ascii="Times New Roman" w:hAnsi="Times New Roman" w:cs="Times New Roman"/>
            <w:sz w:val="24"/>
            <w:szCs w:val="24"/>
            <w:lang w:val="en-PK"/>
          </w:rPr>
          <w:t>https://www.gamblingcommission.gov.uk/print/the-prevention-of-money-laundering-and-combating-the-financing-of-terrorism#34</w:t>
        </w:r>
      </w:hyperlink>
      <w:r w:rsidRPr="00DE123C">
        <w:rPr>
          <w:rFonts w:ascii="Times New Roman" w:hAnsi="Times New Roman" w:cs="Times New Roman"/>
          <w:sz w:val="24"/>
          <w:szCs w:val="24"/>
          <w:lang w:val="en-PK"/>
        </w:rPr>
        <w:t xml:space="preserve"> </w:t>
      </w:r>
    </w:p>
    <w:p w:rsidR="00FD46BF" w:rsidRPr="00FD46BF" w:rsidRDefault="00FD46BF" w:rsidP="00FD46BF">
      <w:pPr>
        <w:rPr>
          <w:rFonts w:ascii="Times New Roman" w:hAnsi="Times New Roman" w:cs="Times New Roman"/>
          <w:sz w:val="24"/>
          <w:szCs w:val="24"/>
          <w:lang w:val="en-PK"/>
        </w:rPr>
      </w:pPr>
      <w:r w:rsidRPr="00FD46BF">
        <w:rPr>
          <w:rFonts w:ascii="Times New Roman" w:hAnsi="Times New Roman" w:cs="Times New Roman"/>
          <w:sz w:val="24"/>
          <w:szCs w:val="24"/>
          <w:lang w:val="en-PK"/>
        </w:rPr>
        <w:t>UK Gambling Commission. (2023b). The 2023 money laundering and terrorist financing risks within the British.</w:t>
      </w:r>
      <w:r w:rsidRPr="00DE123C">
        <w:rPr>
          <w:rFonts w:ascii="Times New Roman" w:hAnsi="Times New Roman" w:cs="Times New Roman"/>
          <w:sz w:val="24"/>
          <w:szCs w:val="24"/>
        </w:rPr>
        <w:t xml:space="preserve"> </w:t>
      </w:r>
      <w:hyperlink r:id="rId8" w:history="1">
        <w:r w:rsidRPr="00DE123C">
          <w:rPr>
            <w:rStyle w:val="Hyperlink"/>
            <w:rFonts w:ascii="Times New Roman" w:hAnsi="Times New Roman" w:cs="Times New Roman"/>
            <w:sz w:val="24"/>
            <w:szCs w:val="24"/>
            <w:lang w:val="en-PK"/>
          </w:rPr>
          <w:t>https://www.gamblingcommission.gov.uk/print/the-2023-money-laundering-and-terrorist-financing-risks-within-the-british</w:t>
        </w:r>
      </w:hyperlink>
      <w:r w:rsidRPr="00DE123C">
        <w:rPr>
          <w:rFonts w:ascii="Times New Roman" w:hAnsi="Times New Roman" w:cs="Times New Roman"/>
          <w:sz w:val="24"/>
          <w:szCs w:val="24"/>
          <w:lang w:val="en-PK"/>
        </w:rPr>
        <w:t xml:space="preserve"> </w:t>
      </w:r>
    </w:p>
    <w:p w:rsidR="00FD46BF" w:rsidRPr="00DE123C" w:rsidRDefault="00FD46BF" w:rsidP="00FD46BF">
      <w:pPr>
        <w:rPr>
          <w:rFonts w:ascii="Times New Roman" w:hAnsi="Times New Roman" w:cs="Times New Roman"/>
          <w:sz w:val="24"/>
          <w:szCs w:val="24"/>
          <w:lang w:val="en-PK"/>
        </w:rPr>
      </w:pPr>
      <w:r w:rsidRPr="00FD46BF">
        <w:rPr>
          <w:rFonts w:ascii="Times New Roman" w:hAnsi="Times New Roman" w:cs="Times New Roman"/>
          <w:vanish/>
          <w:sz w:val="24"/>
          <w:szCs w:val="24"/>
          <w:lang w:val="en-PK"/>
        </w:rPr>
        <w:t>Top of Form</w:t>
      </w:r>
    </w:p>
    <w:p w:rsidR="00FD46BF" w:rsidRPr="00DE123C" w:rsidRDefault="00FD46BF" w:rsidP="00FD46BF">
      <w:pPr>
        <w:rPr>
          <w:rFonts w:ascii="Times New Roman" w:hAnsi="Times New Roman" w:cs="Times New Roman"/>
          <w:sz w:val="24"/>
          <w:szCs w:val="24"/>
          <w:lang w:val="en-PK"/>
        </w:rPr>
      </w:pPr>
    </w:p>
    <w:p w:rsidR="00FD46BF" w:rsidRPr="00DE123C" w:rsidRDefault="00FD46BF" w:rsidP="00FD46BF">
      <w:pPr>
        <w:pStyle w:val="Heading1"/>
        <w:rPr>
          <w:rFonts w:ascii="Times New Roman" w:hAnsi="Times New Roman" w:cs="Times New Roman"/>
          <w:sz w:val="24"/>
          <w:szCs w:val="24"/>
        </w:rPr>
      </w:pPr>
      <w:r w:rsidRPr="00DE123C">
        <w:rPr>
          <w:rFonts w:ascii="Times New Roman" w:hAnsi="Times New Roman" w:cs="Times New Roman"/>
          <w:sz w:val="24"/>
          <w:szCs w:val="24"/>
        </w:rPr>
        <w:t>Question 4</w:t>
      </w:r>
    </w:p>
    <w:p w:rsidR="00FD46BF" w:rsidRPr="00FD46BF" w:rsidRDefault="00FD46BF" w:rsidP="00FD46BF">
      <w:pPr>
        <w:spacing w:line="256" w:lineRule="auto"/>
        <w:rPr>
          <w:rFonts w:ascii="Times New Roman" w:eastAsia="Aptos" w:hAnsi="Times New Roman" w:cs="Times New Roman"/>
          <w:sz w:val="24"/>
          <w:szCs w:val="24"/>
          <w:lang w:val="en-GB"/>
        </w:rPr>
      </w:pPr>
      <w:r w:rsidRPr="00FD46BF">
        <w:rPr>
          <w:rFonts w:ascii="Times New Roman" w:eastAsia="Aptos" w:hAnsi="Times New Roman" w:cs="Times New Roman"/>
          <w:b/>
          <w:bCs/>
          <w:sz w:val="24"/>
          <w:szCs w:val="24"/>
          <w:lang w:val="en-GB"/>
        </w:rPr>
        <w:t>From a jurisdiction of your choice, explain the relationship between primary Anti-Money Laundering (AML) legislation and secondary resources (e.g., guidance documents and regulatory handbooks) in the context of AML compliance. Provide practical examples illustrating how these secondary resources complement primary legislation, and briefly discuss the role of regulators in overseeing compliance.</w:t>
      </w:r>
    </w:p>
    <w:p w:rsidR="00FD46BF" w:rsidRPr="00FD46BF" w:rsidRDefault="00FD46BF" w:rsidP="00FD46BF">
      <w:pPr>
        <w:spacing w:line="256" w:lineRule="auto"/>
        <w:rPr>
          <w:rFonts w:ascii="Times New Roman" w:hAnsi="Times New Roman" w:cs="Times New Roman"/>
          <w:sz w:val="24"/>
          <w:szCs w:val="24"/>
          <w:lang w:val="en-PK"/>
        </w:rPr>
      </w:pPr>
      <w:r w:rsidRPr="00FD46BF">
        <w:rPr>
          <w:rFonts w:ascii="Times New Roman" w:hAnsi="Times New Roman" w:cs="Times New Roman"/>
          <w:b/>
          <w:bCs/>
          <w:sz w:val="24"/>
          <w:szCs w:val="24"/>
          <w:lang w:val="en-PK"/>
        </w:rPr>
        <w:lastRenderedPageBreak/>
        <w:t>The Relationship between Primary Anti-Money Laundering (AML) Legislation and Secondary Resources in the UK</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In the United Kingdom, the system for Anti-Money Laundering (AML) consistence is laid out through a mix of essential regulation and optional assets, for example, direction records and administrative handbooks. These parts cooperate to make a far reaching approach to fighting money laundering and terrorist financing. The essential regulation sets the legitimate establishment and necessities, while auxiliary assets give practical direction to assist institutions with successfully implementing and consent to these regulations. This relationship guarantees a powerful and versatile AML system fit for tending to developing financial wrongdoing dangers.</w:t>
      </w:r>
    </w:p>
    <w:p w:rsidR="00F32E0D" w:rsidRPr="00DE123C" w:rsidRDefault="00F32E0D" w:rsidP="00F32E0D">
      <w:pPr>
        <w:spacing w:line="256" w:lineRule="auto"/>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Essential AML Regulation in the UK</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The foundation of the UK's AML system is the Returns of Wrongdoing Act 2002 (POCA), which condemns money laundering and frameworks the lawful commitments for reporting suspicious activities. Supplementing POCA, the Money Laundering, Terrorist Financing and Move of Assets (Data on the Payer) Guidelines 2017 (</w:t>
      </w:r>
      <w:proofErr w:type="spellStart"/>
      <w:r w:rsidRPr="00DE123C">
        <w:rPr>
          <w:rFonts w:ascii="Times New Roman" w:hAnsi="Times New Roman" w:cs="Times New Roman"/>
          <w:sz w:val="24"/>
          <w:szCs w:val="24"/>
          <w:lang w:val="en-PK"/>
        </w:rPr>
        <w:t>MLRs</w:t>
      </w:r>
      <w:proofErr w:type="spellEnd"/>
      <w:r w:rsidRPr="00DE123C">
        <w:rPr>
          <w:rFonts w:ascii="Times New Roman" w:hAnsi="Times New Roman" w:cs="Times New Roman"/>
          <w:sz w:val="24"/>
          <w:szCs w:val="24"/>
          <w:lang w:val="en-PK"/>
        </w:rPr>
        <w:t xml:space="preserve"> 2017) give detailed prerequisites to organizations to follow, including customer due diligence (CDD), record-keeping, and reporting commitments (UK Government, 2017). These guidelines apply to many areas, including financial establishments, legitimate experts, and realtors, accordingly covering different roads through which money laundering could happen.</w:t>
      </w:r>
    </w:p>
    <w:p w:rsidR="00F32E0D" w:rsidRPr="00DE123C" w:rsidRDefault="00F32E0D" w:rsidP="00F32E0D">
      <w:pPr>
        <w:spacing w:line="256" w:lineRule="auto"/>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Job of Auxiliary Assets</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Optional assets, for example, direction reports and administrative handbooks assume a vital part in overcoming any issues between essential regulation and practical implementation. They offer detailed explanations, examples, and best practices to help establishments comprehend and consent to the lawful prerequisites.</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One significant auxiliary asset is the Joint Money Laundering Controlling Gathering (JMLSG) Direction. The JMLSG gives detailed direction on how organizations can meet their commitments under the </w:t>
      </w:r>
      <w:proofErr w:type="spellStart"/>
      <w:r w:rsidRPr="00DE123C">
        <w:rPr>
          <w:rFonts w:ascii="Times New Roman" w:hAnsi="Times New Roman" w:cs="Times New Roman"/>
          <w:sz w:val="24"/>
          <w:szCs w:val="24"/>
          <w:lang w:val="en-PK"/>
        </w:rPr>
        <w:t>MLRs</w:t>
      </w:r>
      <w:proofErr w:type="spellEnd"/>
      <w:r w:rsidRPr="00DE123C">
        <w:rPr>
          <w:rFonts w:ascii="Times New Roman" w:hAnsi="Times New Roman" w:cs="Times New Roman"/>
          <w:sz w:val="24"/>
          <w:szCs w:val="24"/>
          <w:lang w:val="en-PK"/>
        </w:rPr>
        <w:t xml:space="preserve"> 2017. This direction isn't legitimately restricting yet is exceptionally powerful, as adherence to it is viewed as great practice and can be utilized as proof of consistence with AML necessities (JMLSG, 2020). For example, the JMLSG Direction offers area explicit guidance on leading risk appraisals, implementing customer due diligence, and reporting suspicious activities. By heeding this direction, organizations can guarantee they are taking appropriate moves toward relieve AML risks as per the law.</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Another fundamental auxiliary asset is the Financial Lead Authority (FCA) Handbook. The FCA gives detailed administrative direction to financial foundations, including AML rules. The FCA Handbook frames the expectations for firms in overseeing AML risks, directing due diligence, and reporting suspicious activities. It likewise remembers direction for the frameworks and controls that organizations ought to have set up to forestall money laundering (FCA, 2023). By sticking to the FCA Handbook, financial establishments can adjust their internal policies and methods to administrative expectations, guaranteeing consistence and decreasing the risk of requirement actions.</w:t>
      </w:r>
    </w:p>
    <w:p w:rsidR="00F32E0D" w:rsidRPr="00DE123C" w:rsidRDefault="00F32E0D" w:rsidP="00F32E0D">
      <w:pPr>
        <w:spacing w:line="256" w:lineRule="auto"/>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Practical Examples of Corresponding Jobs</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lastRenderedPageBreak/>
        <w:t xml:space="preserve">A practical example of how optional assets supplement essential regulation is the necessity for enhanced due diligence (EDD) for high-risk customers. Under the </w:t>
      </w:r>
      <w:proofErr w:type="spellStart"/>
      <w:r w:rsidRPr="00DE123C">
        <w:rPr>
          <w:rFonts w:ascii="Times New Roman" w:hAnsi="Times New Roman" w:cs="Times New Roman"/>
          <w:sz w:val="24"/>
          <w:szCs w:val="24"/>
          <w:lang w:val="en-PK"/>
        </w:rPr>
        <w:t>MLRs</w:t>
      </w:r>
      <w:proofErr w:type="spellEnd"/>
      <w:r w:rsidRPr="00DE123C">
        <w:rPr>
          <w:rFonts w:ascii="Times New Roman" w:hAnsi="Times New Roman" w:cs="Times New Roman"/>
          <w:sz w:val="24"/>
          <w:szCs w:val="24"/>
          <w:lang w:val="en-PK"/>
        </w:rPr>
        <w:t xml:space="preserve"> 2017, firms are expected to lead EDD while managing high-risk customers, like politically exposed persons (</w:t>
      </w:r>
      <w:proofErr w:type="spellStart"/>
      <w:r w:rsidRPr="00DE123C">
        <w:rPr>
          <w:rFonts w:ascii="Times New Roman" w:hAnsi="Times New Roman" w:cs="Times New Roman"/>
          <w:sz w:val="24"/>
          <w:szCs w:val="24"/>
          <w:lang w:val="en-PK"/>
        </w:rPr>
        <w:t>PEPs</w:t>
      </w:r>
      <w:proofErr w:type="spellEnd"/>
      <w:r w:rsidRPr="00DE123C">
        <w:rPr>
          <w:rFonts w:ascii="Times New Roman" w:hAnsi="Times New Roman" w:cs="Times New Roman"/>
          <w:sz w:val="24"/>
          <w:szCs w:val="24"/>
          <w:lang w:val="en-PK"/>
        </w:rPr>
        <w:t>) or customers from high-risk jurisdictions (UK Government, 2017). The JMLSG Direction gives detailed guidelines on the most proficient method to recognize and evaluate high-risk customers, the unexpected makes sure that ought to be performed, and how to report these strategies. This direction assists firms with understanding the practical advances expected to conform to the EDD necessities set out in the essential regulation.</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One more example is the </w:t>
      </w:r>
      <w:proofErr w:type="spellStart"/>
      <w:r w:rsidRPr="00DE123C">
        <w:rPr>
          <w:rFonts w:ascii="Times New Roman" w:hAnsi="Times New Roman" w:cs="Times New Roman"/>
          <w:sz w:val="24"/>
          <w:szCs w:val="24"/>
          <w:lang w:val="en-PK"/>
        </w:rPr>
        <w:t>FCA's</w:t>
      </w:r>
      <w:proofErr w:type="spellEnd"/>
      <w:r w:rsidRPr="00DE123C">
        <w:rPr>
          <w:rFonts w:ascii="Times New Roman" w:hAnsi="Times New Roman" w:cs="Times New Roman"/>
          <w:sz w:val="24"/>
          <w:szCs w:val="24"/>
          <w:lang w:val="en-PK"/>
        </w:rPr>
        <w:t xml:space="preserve"> direction on transaction monitoring. While the </w:t>
      </w:r>
      <w:proofErr w:type="spellStart"/>
      <w:r w:rsidRPr="00DE123C">
        <w:rPr>
          <w:rFonts w:ascii="Times New Roman" w:hAnsi="Times New Roman" w:cs="Times New Roman"/>
          <w:sz w:val="24"/>
          <w:szCs w:val="24"/>
          <w:lang w:val="en-PK"/>
        </w:rPr>
        <w:t>MLRs</w:t>
      </w:r>
      <w:proofErr w:type="spellEnd"/>
      <w:r w:rsidRPr="00DE123C">
        <w:rPr>
          <w:rFonts w:ascii="Times New Roman" w:hAnsi="Times New Roman" w:cs="Times New Roman"/>
          <w:sz w:val="24"/>
          <w:szCs w:val="24"/>
          <w:lang w:val="en-PK"/>
        </w:rPr>
        <w:t xml:space="preserve"> 2017 expect firms to have frameworks set up to identify and report suspicious transactions, the FCA Handbook offers detailed counsel on planning and implementing powerful transaction monitoring frameworks. This remembers direction for utilizing technology to robotize monitoring processes, setting appropriate edges for alarms, and routinely surveying the adequacy of these frameworks (FCA, 2023). By heeding this direction, firms can guarantee their transaction monitoring frameworks are strong and equipped for distinguishing suspicious activities that might demonstrate money laundering.</w:t>
      </w:r>
    </w:p>
    <w:p w:rsidR="00F32E0D" w:rsidRPr="00DE123C" w:rsidRDefault="00F32E0D" w:rsidP="00F32E0D">
      <w:pPr>
        <w:spacing w:line="256" w:lineRule="auto"/>
        <w:rPr>
          <w:rFonts w:ascii="Times New Roman" w:hAnsi="Times New Roman" w:cs="Times New Roman"/>
          <w:b/>
          <w:bCs/>
          <w:sz w:val="24"/>
          <w:szCs w:val="24"/>
          <w:lang w:val="en-PK"/>
        </w:rPr>
      </w:pPr>
      <w:r w:rsidRPr="00DE123C">
        <w:rPr>
          <w:rFonts w:ascii="Times New Roman" w:hAnsi="Times New Roman" w:cs="Times New Roman"/>
          <w:b/>
          <w:bCs/>
          <w:sz w:val="24"/>
          <w:szCs w:val="24"/>
          <w:lang w:val="en-PK"/>
        </w:rPr>
        <w:t>Job of Controllers in Administering Consistence</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Controllers assume a basic part in supervising AML consistence and guaranteeing that organizations stick to both essential regulation and optional direction. In the UK, the FCA is the essential controller for financial organizations, while different areas might be managed by various bodies, like the HM Income and Customs (HMRC) for domain specialists and accountants. These controllers lead customary reviews, examinations, and evaluations to guarantee firms consent to AML necessities.</w:t>
      </w:r>
    </w:p>
    <w:p w:rsidR="00F32E0D" w:rsidRPr="00DE123C"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Controllers additionally have requirement abilities to make a move against firms that fail to meet their AML commitments. This can incorporate giving fines, sanctions, or different punishments. For example, as of late, the FCA has imposed significant fines on financial establishments for AML failings, featuring the importance of hearty consistence measures (FCA, 2023). Also, controllers offer continuous help and direction to assist firms with improving their AML practices, remembering refreshes for arising risks and best practices.</w:t>
      </w:r>
    </w:p>
    <w:p w:rsidR="00FD46BF" w:rsidRPr="00FD46BF" w:rsidRDefault="00F32E0D" w:rsidP="00F32E0D">
      <w:pPr>
        <w:spacing w:line="256" w:lineRule="auto"/>
        <w:rPr>
          <w:rFonts w:ascii="Times New Roman" w:hAnsi="Times New Roman" w:cs="Times New Roman"/>
          <w:sz w:val="24"/>
          <w:szCs w:val="24"/>
          <w:lang w:val="en-PK"/>
        </w:rPr>
      </w:pPr>
      <w:r w:rsidRPr="00DE123C">
        <w:rPr>
          <w:rFonts w:ascii="Times New Roman" w:hAnsi="Times New Roman" w:cs="Times New Roman"/>
          <w:sz w:val="24"/>
          <w:szCs w:val="24"/>
          <w:lang w:val="en-PK"/>
        </w:rPr>
        <w:t xml:space="preserve">The connection between essential AML regulation and auxiliary assets in the UK is central to the adequacy of the country's AML system. Essential regulation, for example, POCA and the </w:t>
      </w:r>
      <w:proofErr w:type="spellStart"/>
      <w:r w:rsidRPr="00DE123C">
        <w:rPr>
          <w:rFonts w:ascii="Times New Roman" w:hAnsi="Times New Roman" w:cs="Times New Roman"/>
          <w:sz w:val="24"/>
          <w:szCs w:val="24"/>
          <w:lang w:val="en-PK"/>
        </w:rPr>
        <w:t>MLRs</w:t>
      </w:r>
      <w:proofErr w:type="spellEnd"/>
      <w:r w:rsidRPr="00DE123C">
        <w:rPr>
          <w:rFonts w:ascii="Times New Roman" w:hAnsi="Times New Roman" w:cs="Times New Roman"/>
          <w:sz w:val="24"/>
          <w:szCs w:val="24"/>
          <w:lang w:val="en-PK"/>
        </w:rPr>
        <w:t xml:space="preserve"> 2017 lay out the legitimate prerequisites for fighting money laundering, while optional assets like the JMLSG Direction and FCA Handbook give practical direction to assist firms with conforming to these regulations. By following these assets, firms can implement successful AML estimates that line up with administrative expectations. Controllers assume a vital part in directing consistence, guaranteeing that organizations stick to their commitments, and taking implementation action when fundamental. Together, these parts make an extensive and versatile system for forestalling money laundering and terrorist financing</w:t>
      </w:r>
      <w:r w:rsidR="00FD46BF" w:rsidRPr="00FD46BF">
        <w:rPr>
          <w:rFonts w:ascii="Times New Roman" w:hAnsi="Times New Roman" w:cs="Times New Roman"/>
          <w:sz w:val="24"/>
          <w:szCs w:val="24"/>
          <w:lang w:val="en-PK"/>
        </w:rPr>
        <w:t>.</w:t>
      </w:r>
    </w:p>
    <w:p w:rsidR="00FD46BF" w:rsidRPr="00FD46BF" w:rsidRDefault="00FD46BF" w:rsidP="00FD46BF">
      <w:pPr>
        <w:spacing w:line="256" w:lineRule="auto"/>
        <w:jc w:val="center"/>
        <w:rPr>
          <w:rFonts w:ascii="Times New Roman" w:hAnsi="Times New Roman" w:cs="Times New Roman"/>
          <w:sz w:val="24"/>
          <w:szCs w:val="24"/>
          <w:lang w:val="en-PK"/>
        </w:rPr>
      </w:pPr>
      <w:r w:rsidRPr="00FD46BF">
        <w:rPr>
          <w:rFonts w:ascii="Times New Roman" w:hAnsi="Times New Roman" w:cs="Times New Roman"/>
          <w:b/>
          <w:bCs/>
          <w:sz w:val="24"/>
          <w:szCs w:val="24"/>
          <w:lang w:val="en-PK"/>
        </w:rPr>
        <w:t>References</w:t>
      </w:r>
    </w:p>
    <w:p w:rsidR="00FD46BF" w:rsidRPr="00FD46BF" w:rsidRDefault="00FD46BF" w:rsidP="00FD46BF">
      <w:pPr>
        <w:spacing w:line="256" w:lineRule="auto"/>
        <w:rPr>
          <w:rFonts w:ascii="Times New Roman" w:hAnsi="Times New Roman" w:cs="Times New Roman"/>
          <w:sz w:val="24"/>
          <w:szCs w:val="24"/>
          <w:lang w:val="en-PK"/>
        </w:rPr>
      </w:pPr>
      <w:r w:rsidRPr="00FD46BF">
        <w:rPr>
          <w:rFonts w:ascii="Times New Roman" w:hAnsi="Times New Roman" w:cs="Times New Roman"/>
          <w:sz w:val="24"/>
          <w:szCs w:val="24"/>
          <w:lang w:val="en-PK"/>
        </w:rPr>
        <w:t xml:space="preserve">Financial Conduct Authority (FCA). (2023). </w:t>
      </w:r>
      <w:r w:rsidRPr="00FD46BF">
        <w:rPr>
          <w:rFonts w:ascii="Times New Roman" w:hAnsi="Times New Roman" w:cs="Times New Roman"/>
          <w:i/>
          <w:iCs/>
          <w:sz w:val="24"/>
          <w:szCs w:val="24"/>
          <w:lang w:val="en-PK"/>
        </w:rPr>
        <w:t>Financial Crime Guide: A firm’s guide to countering financial crime risks</w:t>
      </w:r>
      <w:r w:rsidRPr="00FD46BF">
        <w:rPr>
          <w:rFonts w:ascii="Times New Roman" w:hAnsi="Times New Roman" w:cs="Times New Roman"/>
          <w:sz w:val="24"/>
          <w:szCs w:val="24"/>
          <w:lang w:val="en-PK"/>
        </w:rPr>
        <w:t xml:space="preserve">. </w:t>
      </w:r>
    </w:p>
    <w:p w:rsidR="00FD46BF" w:rsidRPr="00FD46BF" w:rsidRDefault="00FD46BF" w:rsidP="00FD46BF">
      <w:pPr>
        <w:spacing w:line="256" w:lineRule="auto"/>
        <w:rPr>
          <w:rFonts w:ascii="Times New Roman" w:hAnsi="Times New Roman" w:cs="Times New Roman"/>
          <w:sz w:val="24"/>
          <w:szCs w:val="24"/>
          <w:lang w:val="en-PK"/>
        </w:rPr>
      </w:pPr>
      <w:r w:rsidRPr="00FD46BF">
        <w:rPr>
          <w:rFonts w:ascii="Times New Roman" w:hAnsi="Times New Roman" w:cs="Times New Roman"/>
          <w:sz w:val="24"/>
          <w:szCs w:val="24"/>
          <w:lang w:val="en-PK"/>
        </w:rPr>
        <w:t xml:space="preserve">Joint Money Laundering Steering Group (JMLSG). (2020). </w:t>
      </w:r>
      <w:r w:rsidRPr="00FD46BF">
        <w:rPr>
          <w:rFonts w:ascii="Times New Roman" w:hAnsi="Times New Roman" w:cs="Times New Roman"/>
          <w:i/>
          <w:iCs/>
          <w:sz w:val="24"/>
          <w:szCs w:val="24"/>
          <w:lang w:val="en-PK"/>
        </w:rPr>
        <w:t>Guidance for the UK Financial Sector Part I: June 2020 (Amended December 2020)</w:t>
      </w:r>
      <w:r w:rsidRPr="00FD46BF">
        <w:rPr>
          <w:rFonts w:ascii="Times New Roman" w:hAnsi="Times New Roman" w:cs="Times New Roman"/>
          <w:sz w:val="24"/>
          <w:szCs w:val="24"/>
          <w:lang w:val="en-PK"/>
        </w:rPr>
        <w:t xml:space="preserve">. </w:t>
      </w:r>
    </w:p>
    <w:p w:rsidR="00FD46BF" w:rsidRPr="00FD46BF" w:rsidRDefault="00FD46BF" w:rsidP="00FD46BF">
      <w:pPr>
        <w:spacing w:line="256" w:lineRule="auto"/>
        <w:rPr>
          <w:rFonts w:ascii="Times New Roman" w:hAnsi="Times New Roman" w:cs="Times New Roman"/>
          <w:sz w:val="24"/>
          <w:szCs w:val="24"/>
          <w:lang w:val="en-PK"/>
        </w:rPr>
      </w:pPr>
      <w:r w:rsidRPr="00FD46BF">
        <w:rPr>
          <w:rFonts w:ascii="Times New Roman" w:hAnsi="Times New Roman" w:cs="Times New Roman"/>
          <w:sz w:val="24"/>
          <w:szCs w:val="24"/>
          <w:lang w:val="en-PK"/>
        </w:rPr>
        <w:lastRenderedPageBreak/>
        <w:t xml:space="preserve">UK Government. (2017). </w:t>
      </w:r>
      <w:r w:rsidRPr="00FD46BF">
        <w:rPr>
          <w:rFonts w:ascii="Times New Roman" w:hAnsi="Times New Roman" w:cs="Times New Roman"/>
          <w:i/>
          <w:iCs/>
          <w:sz w:val="24"/>
          <w:szCs w:val="24"/>
          <w:lang w:val="en-PK"/>
        </w:rPr>
        <w:t>Money Laundering, Terrorist Financing and Transfer of Funds (Information on the Payer) Regulations 2017</w:t>
      </w:r>
      <w:r w:rsidRPr="00FD46BF">
        <w:rPr>
          <w:rFonts w:ascii="Times New Roman" w:hAnsi="Times New Roman" w:cs="Times New Roman"/>
          <w:sz w:val="24"/>
          <w:szCs w:val="24"/>
          <w:lang w:val="en-PK"/>
        </w:rPr>
        <w:t xml:space="preserve">. </w:t>
      </w:r>
    </w:p>
    <w:p w:rsidR="00FD46BF" w:rsidRPr="00FD46BF" w:rsidRDefault="00FD46BF" w:rsidP="00FD46BF">
      <w:pPr>
        <w:rPr>
          <w:rFonts w:ascii="Times New Roman" w:hAnsi="Times New Roman" w:cs="Times New Roman"/>
          <w:vanish/>
          <w:sz w:val="24"/>
          <w:szCs w:val="24"/>
          <w:lang w:val="en-GB"/>
        </w:rPr>
      </w:pPr>
    </w:p>
    <w:p w:rsidR="00FD46BF" w:rsidRPr="00FD46BF" w:rsidRDefault="00FD46BF" w:rsidP="00FD46BF">
      <w:pPr>
        <w:rPr>
          <w:rFonts w:ascii="Times New Roman" w:hAnsi="Times New Roman" w:cs="Times New Roman"/>
          <w:vanish/>
          <w:sz w:val="24"/>
          <w:szCs w:val="24"/>
          <w:lang w:val="en-PK"/>
        </w:rPr>
      </w:pPr>
      <w:r w:rsidRPr="00FD46BF">
        <w:rPr>
          <w:rFonts w:ascii="Times New Roman" w:hAnsi="Times New Roman" w:cs="Times New Roman"/>
          <w:vanish/>
          <w:sz w:val="24"/>
          <w:szCs w:val="24"/>
          <w:lang w:val="en-PK"/>
        </w:rPr>
        <w:t>Bottom of Form</w:t>
      </w:r>
    </w:p>
    <w:p w:rsidR="00FD46BF" w:rsidRPr="00DE123C" w:rsidRDefault="00FD46BF" w:rsidP="00FD46BF">
      <w:pPr>
        <w:rPr>
          <w:rFonts w:ascii="Times New Roman" w:hAnsi="Times New Roman" w:cs="Times New Roman"/>
          <w:sz w:val="24"/>
          <w:szCs w:val="24"/>
          <w:lang w:val="en-PK"/>
        </w:rPr>
      </w:pPr>
    </w:p>
    <w:p w:rsidR="00FD46BF" w:rsidRPr="00DE123C" w:rsidRDefault="00FD46BF" w:rsidP="00FD46BF">
      <w:pPr>
        <w:rPr>
          <w:rFonts w:ascii="Times New Roman" w:hAnsi="Times New Roman" w:cs="Times New Roman"/>
          <w:sz w:val="24"/>
          <w:szCs w:val="24"/>
          <w:lang w:val="en-PK"/>
        </w:rPr>
      </w:pPr>
    </w:p>
    <w:p w:rsidR="00FD46BF" w:rsidRPr="00FD46BF" w:rsidRDefault="00FD46BF" w:rsidP="00FD46BF">
      <w:pPr>
        <w:rPr>
          <w:rFonts w:ascii="Times New Roman" w:hAnsi="Times New Roman" w:cs="Times New Roman"/>
          <w:sz w:val="24"/>
          <w:szCs w:val="24"/>
          <w:lang w:val="en-PK"/>
        </w:rPr>
      </w:pPr>
    </w:p>
    <w:p w:rsidR="00FD46BF" w:rsidRPr="00DE123C" w:rsidRDefault="00FD46BF">
      <w:pPr>
        <w:rPr>
          <w:rFonts w:ascii="Times New Roman" w:hAnsi="Times New Roman" w:cs="Times New Roman"/>
          <w:sz w:val="24"/>
          <w:szCs w:val="24"/>
          <w:lang w:val="en-GB"/>
        </w:rPr>
      </w:pPr>
    </w:p>
    <w:sectPr w:rsidR="00FD46BF" w:rsidRPr="00DE1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6F99"/>
    <w:multiLevelType w:val="hybridMultilevel"/>
    <w:tmpl w:val="DE4A4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9706BB"/>
    <w:multiLevelType w:val="hybridMultilevel"/>
    <w:tmpl w:val="8F46FF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C933CA0"/>
    <w:multiLevelType w:val="hybridMultilevel"/>
    <w:tmpl w:val="29F4E1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CFC5A06"/>
    <w:multiLevelType w:val="hybridMultilevel"/>
    <w:tmpl w:val="BC2087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496126"/>
    <w:multiLevelType w:val="hybridMultilevel"/>
    <w:tmpl w:val="79F2A6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84006A"/>
    <w:multiLevelType w:val="hybridMultilevel"/>
    <w:tmpl w:val="BF76C9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EC7657"/>
    <w:multiLevelType w:val="hybridMultilevel"/>
    <w:tmpl w:val="66D2FC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7D96809"/>
    <w:multiLevelType w:val="hybridMultilevel"/>
    <w:tmpl w:val="E7089F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74854998">
    <w:abstractNumId w:val="3"/>
  </w:num>
  <w:num w:numId="2" w16cid:durableId="1115640501">
    <w:abstractNumId w:val="1"/>
  </w:num>
  <w:num w:numId="3" w16cid:durableId="1791168065">
    <w:abstractNumId w:val="0"/>
  </w:num>
  <w:num w:numId="4" w16cid:durableId="1415591980">
    <w:abstractNumId w:val="4"/>
  </w:num>
  <w:num w:numId="5" w16cid:durableId="1848672115">
    <w:abstractNumId w:val="2"/>
  </w:num>
  <w:num w:numId="6" w16cid:durableId="1202865044">
    <w:abstractNumId w:val="5"/>
  </w:num>
  <w:num w:numId="7" w16cid:durableId="1528762289">
    <w:abstractNumId w:val="6"/>
  </w:num>
  <w:num w:numId="8" w16cid:durableId="1503621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BF"/>
    <w:rsid w:val="00512F33"/>
    <w:rsid w:val="00A2446E"/>
    <w:rsid w:val="00B30A62"/>
    <w:rsid w:val="00BD6A51"/>
    <w:rsid w:val="00DE123C"/>
    <w:rsid w:val="00EB083C"/>
    <w:rsid w:val="00F32E0D"/>
    <w:rsid w:val="00FD46B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DD67"/>
  <w15:chartTrackingRefBased/>
  <w15:docId w15:val="{6A7262A8-0E4E-4EA5-BC77-DD2DA565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6BF"/>
    <w:pPr>
      <w:jc w:val="center"/>
      <w:outlineLvl w:val="0"/>
    </w:pPr>
    <w:rPr>
      <w:b/>
      <w:bCs/>
      <w:lang w:val="en-GB"/>
    </w:rPr>
  </w:style>
  <w:style w:type="paragraph" w:styleId="Heading2">
    <w:name w:val="heading 2"/>
    <w:basedOn w:val="Normal"/>
    <w:next w:val="Normal"/>
    <w:link w:val="Heading2Char"/>
    <w:uiPriority w:val="9"/>
    <w:semiHidden/>
    <w:unhideWhenUsed/>
    <w:qFormat/>
    <w:rsid w:val="00FD4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6BF"/>
    <w:rPr>
      <w:b/>
      <w:bCs/>
      <w:lang w:val="en-GB"/>
    </w:rPr>
  </w:style>
  <w:style w:type="character" w:customStyle="1" w:styleId="Heading2Char">
    <w:name w:val="Heading 2 Char"/>
    <w:basedOn w:val="DefaultParagraphFont"/>
    <w:link w:val="Heading2"/>
    <w:uiPriority w:val="9"/>
    <w:semiHidden/>
    <w:rsid w:val="00FD4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6BF"/>
    <w:rPr>
      <w:rFonts w:eastAsiaTheme="majorEastAsia" w:cstheme="majorBidi"/>
      <w:color w:val="272727" w:themeColor="text1" w:themeTint="D8"/>
    </w:rPr>
  </w:style>
  <w:style w:type="paragraph" w:styleId="Title">
    <w:name w:val="Title"/>
    <w:basedOn w:val="Normal"/>
    <w:next w:val="Normal"/>
    <w:link w:val="TitleChar"/>
    <w:uiPriority w:val="10"/>
    <w:qFormat/>
    <w:rsid w:val="00FD4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6BF"/>
    <w:pPr>
      <w:spacing w:before="160"/>
      <w:jc w:val="center"/>
    </w:pPr>
    <w:rPr>
      <w:i/>
      <w:iCs/>
      <w:color w:val="404040" w:themeColor="text1" w:themeTint="BF"/>
    </w:rPr>
  </w:style>
  <w:style w:type="character" w:customStyle="1" w:styleId="QuoteChar">
    <w:name w:val="Quote Char"/>
    <w:basedOn w:val="DefaultParagraphFont"/>
    <w:link w:val="Quote"/>
    <w:uiPriority w:val="29"/>
    <w:rsid w:val="00FD46BF"/>
    <w:rPr>
      <w:i/>
      <w:iCs/>
      <w:color w:val="404040" w:themeColor="text1" w:themeTint="BF"/>
    </w:rPr>
  </w:style>
  <w:style w:type="paragraph" w:styleId="ListParagraph">
    <w:name w:val="List Paragraph"/>
    <w:basedOn w:val="Normal"/>
    <w:uiPriority w:val="34"/>
    <w:qFormat/>
    <w:rsid w:val="00FD46BF"/>
    <w:pPr>
      <w:ind w:left="720"/>
      <w:contextualSpacing/>
    </w:pPr>
  </w:style>
  <w:style w:type="character" w:styleId="IntenseEmphasis">
    <w:name w:val="Intense Emphasis"/>
    <w:basedOn w:val="DefaultParagraphFont"/>
    <w:uiPriority w:val="21"/>
    <w:qFormat/>
    <w:rsid w:val="00FD46BF"/>
    <w:rPr>
      <w:i/>
      <w:iCs/>
      <w:color w:val="0F4761" w:themeColor="accent1" w:themeShade="BF"/>
    </w:rPr>
  </w:style>
  <w:style w:type="paragraph" w:styleId="IntenseQuote">
    <w:name w:val="Intense Quote"/>
    <w:basedOn w:val="Normal"/>
    <w:next w:val="Normal"/>
    <w:link w:val="IntenseQuoteChar"/>
    <w:uiPriority w:val="30"/>
    <w:qFormat/>
    <w:rsid w:val="00FD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6BF"/>
    <w:rPr>
      <w:i/>
      <w:iCs/>
      <w:color w:val="0F4761" w:themeColor="accent1" w:themeShade="BF"/>
    </w:rPr>
  </w:style>
  <w:style w:type="character" w:styleId="IntenseReference">
    <w:name w:val="Intense Reference"/>
    <w:basedOn w:val="DefaultParagraphFont"/>
    <w:uiPriority w:val="32"/>
    <w:qFormat/>
    <w:rsid w:val="00FD46BF"/>
    <w:rPr>
      <w:b/>
      <w:bCs/>
      <w:smallCaps/>
      <w:color w:val="0F4761" w:themeColor="accent1" w:themeShade="BF"/>
      <w:spacing w:val="5"/>
    </w:rPr>
  </w:style>
  <w:style w:type="character" w:styleId="Hyperlink">
    <w:name w:val="Hyperlink"/>
    <w:basedOn w:val="DefaultParagraphFont"/>
    <w:uiPriority w:val="99"/>
    <w:unhideWhenUsed/>
    <w:rsid w:val="00FD46BF"/>
    <w:rPr>
      <w:color w:val="467886" w:themeColor="hyperlink"/>
      <w:u w:val="single"/>
    </w:rPr>
  </w:style>
  <w:style w:type="character" w:styleId="UnresolvedMention">
    <w:name w:val="Unresolved Mention"/>
    <w:basedOn w:val="DefaultParagraphFont"/>
    <w:uiPriority w:val="99"/>
    <w:semiHidden/>
    <w:unhideWhenUsed/>
    <w:rsid w:val="00FD4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78719">
      <w:bodyDiv w:val="1"/>
      <w:marLeft w:val="0"/>
      <w:marRight w:val="0"/>
      <w:marTop w:val="0"/>
      <w:marBottom w:val="0"/>
      <w:divBdr>
        <w:top w:val="none" w:sz="0" w:space="0" w:color="auto"/>
        <w:left w:val="none" w:sz="0" w:space="0" w:color="auto"/>
        <w:bottom w:val="none" w:sz="0" w:space="0" w:color="auto"/>
        <w:right w:val="none" w:sz="0" w:space="0" w:color="auto"/>
      </w:divBdr>
    </w:div>
    <w:div w:id="724642280">
      <w:bodyDiv w:val="1"/>
      <w:marLeft w:val="0"/>
      <w:marRight w:val="0"/>
      <w:marTop w:val="0"/>
      <w:marBottom w:val="0"/>
      <w:divBdr>
        <w:top w:val="none" w:sz="0" w:space="0" w:color="auto"/>
        <w:left w:val="none" w:sz="0" w:space="0" w:color="auto"/>
        <w:bottom w:val="none" w:sz="0" w:space="0" w:color="auto"/>
        <w:right w:val="none" w:sz="0" w:space="0" w:color="auto"/>
      </w:divBdr>
    </w:div>
    <w:div w:id="1317150234">
      <w:bodyDiv w:val="1"/>
      <w:marLeft w:val="0"/>
      <w:marRight w:val="0"/>
      <w:marTop w:val="0"/>
      <w:marBottom w:val="0"/>
      <w:divBdr>
        <w:top w:val="none" w:sz="0" w:space="0" w:color="auto"/>
        <w:left w:val="none" w:sz="0" w:space="0" w:color="auto"/>
        <w:bottom w:val="none" w:sz="0" w:space="0" w:color="auto"/>
        <w:right w:val="none" w:sz="0" w:space="0" w:color="auto"/>
      </w:divBdr>
    </w:div>
    <w:div w:id="1351907462">
      <w:bodyDiv w:val="1"/>
      <w:marLeft w:val="0"/>
      <w:marRight w:val="0"/>
      <w:marTop w:val="0"/>
      <w:marBottom w:val="0"/>
      <w:divBdr>
        <w:top w:val="none" w:sz="0" w:space="0" w:color="auto"/>
        <w:left w:val="none" w:sz="0" w:space="0" w:color="auto"/>
        <w:bottom w:val="none" w:sz="0" w:space="0" w:color="auto"/>
        <w:right w:val="none" w:sz="0" w:space="0" w:color="auto"/>
      </w:divBdr>
    </w:div>
    <w:div w:id="1482697362">
      <w:bodyDiv w:val="1"/>
      <w:marLeft w:val="0"/>
      <w:marRight w:val="0"/>
      <w:marTop w:val="0"/>
      <w:marBottom w:val="0"/>
      <w:divBdr>
        <w:top w:val="none" w:sz="0" w:space="0" w:color="auto"/>
        <w:left w:val="none" w:sz="0" w:space="0" w:color="auto"/>
        <w:bottom w:val="none" w:sz="0" w:space="0" w:color="auto"/>
        <w:right w:val="none" w:sz="0" w:space="0" w:color="auto"/>
      </w:divBdr>
    </w:div>
    <w:div w:id="1671441391">
      <w:bodyDiv w:val="1"/>
      <w:marLeft w:val="0"/>
      <w:marRight w:val="0"/>
      <w:marTop w:val="0"/>
      <w:marBottom w:val="0"/>
      <w:divBdr>
        <w:top w:val="none" w:sz="0" w:space="0" w:color="auto"/>
        <w:left w:val="none" w:sz="0" w:space="0" w:color="auto"/>
        <w:bottom w:val="none" w:sz="0" w:space="0" w:color="auto"/>
        <w:right w:val="none" w:sz="0" w:space="0" w:color="auto"/>
      </w:divBdr>
      <w:divsChild>
        <w:div w:id="597373919">
          <w:marLeft w:val="0"/>
          <w:marRight w:val="0"/>
          <w:marTop w:val="0"/>
          <w:marBottom w:val="0"/>
          <w:divBdr>
            <w:top w:val="none" w:sz="0" w:space="0" w:color="auto"/>
            <w:left w:val="none" w:sz="0" w:space="0" w:color="auto"/>
            <w:bottom w:val="none" w:sz="0" w:space="0" w:color="auto"/>
            <w:right w:val="none" w:sz="0" w:space="0" w:color="auto"/>
          </w:divBdr>
          <w:divsChild>
            <w:div w:id="970790297">
              <w:marLeft w:val="0"/>
              <w:marRight w:val="0"/>
              <w:marTop w:val="0"/>
              <w:marBottom w:val="0"/>
              <w:divBdr>
                <w:top w:val="none" w:sz="0" w:space="0" w:color="auto"/>
                <w:left w:val="none" w:sz="0" w:space="0" w:color="auto"/>
                <w:bottom w:val="none" w:sz="0" w:space="0" w:color="auto"/>
                <w:right w:val="none" w:sz="0" w:space="0" w:color="auto"/>
              </w:divBdr>
              <w:divsChild>
                <w:div w:id="1684281647">
                  <w:marLeft w:val="0"/>
                  <w:marRight w:val="0"/>
                  <w:marTop w:val="0"/>
                  <w:marBottom w:val="0"/>
                  <w:divBdr>
                    <w:top w:val="none" w:sz="0" w:space="0" w:color="auto"/>
                    <w:left w:val="none" w:sz="0" w:space="0" w:color="auto"/>
                    <w:bottom w:val="none" w:sz="0" w:space="0" w:color="auto"/>
                    <w:right w:val="none" w:sz="0" w:space="0" w:color="auto"/>
                  </w:divBdr>
                  <w:divsChild>
                    <w:div w:id="609969422">
                      <w:marLeft w:val="0"/>
                      <w:marRight w:val="0"/>
                      <w:marTop w:val="0"/>
                      <w:marBottom w:val="0"/>
                      <w:divBdr>
                        <w:top w:val="none" w:sz="0" w:space="0" w:color="auto"/>
                        <w:left w:val="none" w:sz="0" w:space="0" w:color="auto"/>
                        <w:bottom w:val="none" w:sz="0" w:space="0" w:color="auto"/>
                        <w:right w:val="none" w:sz="0" w:space="0" w:color="auto"/>
                      </w:divBdr>
                      <w:divsChild>
                        <w:div w:id="1846434900">
                          <w:marLeft w:val="0"/>
                          <w:marRight w:val="0"/>
                          <w:marTop w:val="0"/>
                          <w:marBottom w:val="0"/>
                          <w:divBdr>
                            <w:top w:val="none" w:sz="0" w:space="0" w:color="auto"/>
                            <w:left w:val="none" w:sz="0" w:space="0" w:color="auto"/>
                            <w:bottom w:val="none" w:sz="0" w:space="0" w:color="auto"/>
                            <w:right w:val="none" w:sz="0" w:space="0" w:color="auto"/>
                          </w:divBdr>
                          <w:divsChild>
                            <w:div w:id="154999049">
                              <w:marLeft w:val="0"/>
                              <w:marRight w:val="0"/>
                              <w:marTop w:val="0"/>
                              <w:marBottom w:val="0"/>
                              <w:divBdr>
                                <w:top w:val="none" w:sz="0" w:space="0" w:color="auto"/>
                                <w:left w:val="none" w:sz="0" w:space="0" w:color="auto"/>
                                <w:bottom w:val="none" w:sz="0" w:space="0" w:color="auto"/>
                                <w:right w:val="none" w:sz="0" w:space="0" w:color="auto"/>
                              </w:divBdr>
                              <w:divsChild>
                                <w:div w:id="1285313712">
                                  <w:marLeft w:val="0"/>
                                  <w:marRight w:val="0"/>
                                  <w:marTop w:val="0"/>
                                  <w:marBottom w:val="0"/>
                                  <w:divBdr>
                                    <w:top w:val="none" w:sz="0" w:space="0" w:color="auto"/>
                                    <w:left w:val="none" w:sz="0" w:space="0" w:color="auto"/>
                                    <w:bottom w:val="none" w:sz="0" w:space="0" w:color="auto"/>
                                    <w:right w:val="none" w:sz="0" w:space="0" w:color="auto"/>
                                  </w:divBdr>
                                  <w:divsChild>
                                    <w:div w:id="982778725">
                                      <w:marLeft w:val="0"/>
                                      <w:marRight w:val="0"/>
                                      <w:marTop w:val="0"/>
                                      <w:marBottom w:val="0"/>
                                      <w:divBdr>
                                        <w:top w:val="none" w:sz="0" w:space="0" w:color="auto"/>
                                        <w:left w:val="none" w:sz="0" w:space="0" w:color="auto"/>
                                        <w:bottom w:val="none" w:sz="0" w:space="0" w:color="auto"/>
                                        <w:right w:val="none" w:sz="0" w:space="0" w:color="auto"/>
                                      </w:divBdr>
                                      <w:divsChild>
                                        <w:div w:id="1019310693">
                                          <w:marLeft w:val="0"/>
                                          <w:marRight w:val="0"/>
                                          <w:marTop w:val="0"/>
                                          <w:marBottom w:val="0"/>
                                          <w:divBdr>
                                            <w:top w:val="none" w:sz="0" w:space="0" w:color="auto"/>
                                            <w:left w:val="none" w:sz="0" w:space="0" w:color="auto"/>
                                            <w:bottom w:val="none" w:sz="0" w:space="0" w:color="auto"/>
                                            <w:right w:val="none" w:sz="0" w:space="0" w:color="auto"/>
                                          </w:divBdr>
                                          <w:divsChild>
                                            <w:div w:id="251091218">
                                              <w:marLeft w:val="0"/>
                                              <w:marRight w:val="0"/>
                                              <w:marTop w:val="0"/>
                                              <w:marBottom w:val="0"/>
                                              <w:divBdr>
                                                <w:top w:val="none" w:sz="0" w:space="0" w:color="auto"/>
                                                <w:left w:val="none" w:sz="0" w:space="0" w:color="auto"/>
                                                <w:bottom w:val="none" w:sz="0" w:space="0" w:color="auto"/>
                                                <w:right w:val="none" w:sz="0" w:space="0" w:color="auto"/>
                                              </w:divBdr>
                                              <w:divsChild>
                                                <w:div w:id="16666250">
                                                  <w:marLeft w:val="0"/>
                                                  <w:marRight w:val="0"/>
                                                  <w:marTop w:val="0"/>
                                                  <w:marBottom w:val="0"/>
                                                  <w:divBdr>
                                                    <w:top w:val="none" w:sz="0" w:space="0" w:color="auto"/>
                                                    <w:left w:val="none" w:sz="0" w:space="0" w:color="auto"/>
                                                    <w:bottom w:val="none" w:sz="0" w:space="0" w:color="auto"/>
                                                    <w:right w:val="none" w:sz="0" w:space="0" w:color="auto"/>
                                                  </w:divBdr>
                                                  <w:divsChild>
                                                    <w:div w:id="2123960">
                                                      <w:marLeft w:val="0"/>
                                                      <w:marRight w:val="0"/>
                                                      <w:marTop w:val="0"/>
                                                      <w:marBottom w:val="0"/>
                                                      <w:divBdr>
                                                        <w:top w:val="none" w:sz="0" w:space="0" w:color="auto"/>
                                                        <w:left w:val="none" w:sz="0" w:space="0" w:color="auto"/>
                                                        <w:bottom w:val="none" w:sz="0" w:space="0" w:color="auto"/>
                                                        <w:right w:val="none" w:sz="0" w:space="0" w:color="auto"/>
                                                      </w:divBdr>
                                                      <w:divsChild>
                                                        <w:div w:id="632104989">
                                                          <w:marLeft w:val="0"/>
                                                          <w:marRight w:val="0"/>
                                                          <w:marTop w:val="0"/>
                                                          <w:marBottom w:val="0"/>
                                                          <w:divBdr>
                                                            <w:top w:val="none" w:sz="0" w:space="0" w:color="auto"/>
                                                            <w:left w:val="none" w:sz="0" w:space="0" w:color="auto"/>
                                                            <w:bottom w:val="none" w:sz="0" w:space="0" w:color="auto"/>
                                                            <w:right w:val="none" w:sz="0" w:space="0" w:color="auto"/>
                                                          </w:divBdr>
                                                          <w:divsChild>
                                                            <w:div w:id="178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4970">
                                                  <w:marLeft w:val="0"/>
                                                  <w:marRight w:val="0"/>
                                                  <w:marTop w:val="0"/>
                                                  <w:marBottom w:val="0"/>
                                                  <w:divBdr>
                                                    <w:top w:val="none" w:sz="0" w:space="0" w:color="auto"/>
                                                    <w:left w:val="none" w:sz="0" w:space="0" w:color="auto"/>
                                                    <w:bottom w:val="none" w:sz="0" w:space="0" w:color="auto"/>
                                                    <w:right w:val="none" w:sz="0" w:space="0" w:color="auto"/>
                                                  </w:divBdr>
                                                  <w:divsChild>
                                                    <w:div w:id="1943604458">
                                                      <w:marLeft w:val="0"/>
                                                      <w:marRight w:val="0"/>
                                                      <w:marTop w:val="0"/>
                                                      <w:marBottom w:val="0"/>
                                                      <w:divBdr>
                                                        <w:top w:val="none" w:sz="0" w:space="0" w:color="auto"/>
                                                        <w:left w:val="none" w:sz="0" w:space="0" w:color="auto"/>
                                                        <w:bottom w:val="none" w:sz="0" w:space="0" w:color="auto"/>
                                                        <w:right w:val="none" w:sz="0" w:space="0" w:color="auto"/>
                                                      </w:divBdr>
                                                      <w:divsChild>
                                                        <w:div w:id="1826585064">
                                                          <w:marLeft w:val="0"/>
                                                          <w:marRight w:val="0"/>
                                                          <w:marTop w:val="0"/>
                                                          <w:marBottom w:val="0"/>
                                                          <w:divBdr>
                                                            <w:top w:val="none" w:sz="0" w:space="0" w:color="auto"/>
                                                            <w:left w:val="none" w:sz="0" w:space="0" w:color="auto"/>
                                                            <w:bottom w:val="none" w:sz="0" w:space="0" w:color="auto"/>
                                                            <w:right w:val="none" w:sz="0" w:space="0" w:color="auto"/>
                                                          </w:divBdr>
                                                          <w:divsChild>
                                                            <w:div w:id="3024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166089">
          <w:marLeft w:val="0"/>
          <w:marRight w:val="0"/>
          <w:marTop w:val="0"/>
          <w:marBottom w:val="0"/>
          <w:divBdr>
            <w:top w:val="none" w:sz="0" w:space="0" w:color="auto"/>
            <w:left w:val="none" w:sz="0" w:space="0" w:color="auto"/>
            <w:bottom w:val="none" w:sz="0" w:space="0" w:color="auto"/>
            <w:right w:val="none" w:sz="0" w:space="0" w:color="auto"/>
          </w:divBdr>
          <w:divsChild>
            <w:div w:id="1625118177">
              <w:marLeft w:val="0"/>
              <w:marRight w:val="0"/>
              <w:marTop w:val="0"/>
              <w:marBottom w:val="0"/>
              <w:divBdr>
                <w:top w:val="none" w:sz="0" w:space="0" w:color="auto"/>
                <w:left w:val="none" w:sz="0" w:space="0" w:color="auto"/>
                <w:bottom w:val="none" w:sz="0" w:space="0" w:color="auto"/>
                <w:right w:val="none" w:sz="0" w:space="0" w:color="auto"/>
              </w:divBdr>
              <w:divsChild>
                <w:div w:id="4096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649">
      <w:bodyDiv w:val="1"/>
      <w:marLeft w:val="0"/>
      <w:marRight w:val="0"/>
      <w:marTop w:val="0"/>
      <w:marBottom w:val="0"/>
      <w:divBdr>
        <w:top w:val="none" w:sz="0" w:space="0" w:color="auto"/>
        <w:left w:val="none" w:sz="0" w:space="0" w:color="auto"/>
        <w:bottom w:val="none" w:sz="0" w:space="0" w:color="auto"/>
        <w:right w:val="none" w:sz="0" w:space="0" w:color="auto"/>
      </w:divBdr>
    </w:div>
    <w:div w:id="1809938297">
      <w:bodyDiv w:val="1"/>
      <w:marLeft w:val="0"/>
      <w:marRight w:val="0"/>
      <w:marTop w:val="0"/>
      <w:marBottom w:val="0"/>
      <w:divBdr>
        <w:top w:val="none" w:sz="0" w:space="0" w:color="auto"/>
        <w:left w:val="none" w:sz="0" w:space="0" w:color="auto"/>
        <w:bottom w:val="none" w:sz="0" w:space="0" w:color="auto"/>
        <w:right w:val="none" w:sz="0" w:space="0" w:color="auto"/>
      </w:divBdr>
    </w:div>
    <w:div w:id="2001618359">
      <w:bodyDiv w:val="1"/>
      <w:marLeft w:val="0"/>
      <w:marRight w:val="0"/>
      <w:marTop w:val="0"/>
      <w:marBottom w:val="0"/>
      <w:divBdr>
        <w:top w:val="none" w:sz="0" w:space="0" w:color="auto"/>
        <w:left w:val="none" w:sz="0" w:space="0" w:color="auto"/>
        <w:bottom w:val="none" w:sz="0" w:space="0" w:color="auto"/>
        <w:right w:val="none" w:sz="0" w:space="0" w:color="auto"/>
      </w:divBdr>
      <w:divsChild>
        <w:div w:id="180630685">
          <w:marLeft w:val="0"/>
          <w:marRight w:val="0"/>
          <w:marTop w:val="0"/>
          <w:marBottom w:val="0"/>
          <w:divBdr>
            <w:top w:val="none" w:sz="0" w:space="0" w:color="auto"/>
            <w:left w:val="none" w:sz="0" w:space="0" w:color="auto"/>
            <w:bottom w:val="none" w:sz="0" w:space="0" w:color="auto"/>
            <w:right w:val="none" w:sz="0" w:space="0" w:color="auto"/>
          </w:divBdr>
          <w:divsChild>
            <w:div w:id="1336613013">
              <w:marLeft w:val="0"/>
              <w:marRight w:val="0"/>
              <w:marTop w:val="0"/>
              <w:marBottom w:val="0"/>
              <w:divBdr>
                <w:top w:val="none" w:sz="0" w:space="0" w:color="auto"/>
                <w:left w:val="none" w:sz="0" w:space="0" w:color="auto"/>
                <w:bottom w:val="none" w:sz="0" w:space="0" w:color="auto"/>
                <w:right w:val="none" w:sz="0" w:space="0" w:color="auto"/>
              </w:divBdr>
              <w:divsChild>
                <w:div w:id="637803417">
                  <w:marLeft w:val="0"/>
                  <w:marRight w:val="0"/>
                  <w:marTop w:val="0"/>
                  <w:marBottom w:val="0"/>
                  <w:divBdr>
                    <w:top w:val="none" w:sz="0" w:space="0" w:color="auto"/>
                    <w:left w:val="none" w:sz="0" w:space="0" w:color="auto"/>
                    <w:bottom w:val="none" w:sz="0" w:space="0" w:color="auto"/>
                    <w:right w:val="none" w:sz="0" w:space="0" w:color="auto"/>
                  </w:divBdr>
                  <w:divsChild>
                    <w:div w:id="146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5321">
          <w:marLeft w:val="0"/>
          <w:marRight w:val="0"/>
          <w:marTop w:val="0"/>
          <w:marBottom w:val="0"/>
          <w:divBdr>
            <w:top w:val="none" w:sz="0" w:space="0" w:color="auto"/>
            <w:left w:val="none" w:sz="0" w:space="0" w:color="auto"/>
            <w:bottom w:val="none" w:sz="0" w:space="0" w:color="auto"/>
            <w:right w:val="none" w:sz="0" w:space="0" w:color="auto"/>
          </w:divBdr>
          <w:divsChild>
            <w:div w:id="1208448430">
              <w:marLeft w:val="0"/>
              <w:marRight w:val="0"/>
              <w:marTop w:val="0"/>
              <w:marBottom w:val="0"/>
              <w:divBdr>
                <w:top w:val="none" w:sz="0" w:space="0" w:color="auto"/>
                <w:left w:val="none" w:sz="0" w:space="0" w:color="auto"/>
                <w:bottom w:val="none" w:sz="0" w:space="0" w:color="auto"/>
                <w:right w:val="none" w:sz="0" w:space="0" w:color="auto"/>
              </w:divBdr>
              <w:divsChild>
                <w:div w:id="168569707">
                  <w:marLeft w:val="0"/>
                  <w:marRight w:val="0"/>
                  <w:marTop w:val="0"/>
                  <w:marBottom w:val="0"/>
                  <w:divBdr>
                    <w:top w:val="none" w:sz="0" w:space="0" w:color="auto"/>
                    <w:left w:val="none" w:sz="0" w:space="0" w:color="auto"/>
                    <w:bottom w:val="none" w:sz="0" w:space="0" w:color="auto"/>
                    <w:right w:val="none" w:sz="0" w:space="0" w:color="auto"/>
                  </w:divBdr>
                  <w:divsChild>
                    <w:div w:id="3639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mblingcommission.gov.uk/print/the-2023-money-laundering-and-terrorist-financing-risks-within-the-british" TargetMode="External"/><Relationship Id="rId3" Type="http://schemas.openxmlformats.org/officeDocument/2006/relationships/settings" Target="settings.xml"/><Relationship Id="rId7" Type="http://schemas.openxmlformats.org/officeDocument/2006/relationships/hyperlink" Target="https://www.gamblingcommission.gov.uk/print/the-prevention-of-money-laundering-and-combating-the-financing-of-terrorism#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mblingcommission.gov.uk/print/the-2023-money-laundering-and-terrorist-financing-risks-within-the-british" TargetMode="External"/><Relationship Id="rId5" Type="http://schemas.openxmlformats.org/officeDocument/2006/relationships/hyperlink" Target="https://www.gamblingcommission.gov.uk/print/the-prevention-of-money-laundering-and-combating-the-financing-of-terrorism#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4421</Words>
  <Characters>25203</Characters>
  <Application>Microsoft Office Word</Application>
  <DocSecurity>0</DocSecurity>
  <Lines>210</Lines>
  <Paragraphs>59</Paragraphs>
  <ScaleCrop>false</ScaleCrop>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cp:revision>
  <dcterms:created xsi:type="dcterms:W3CDTF">2024-07-31T01:04:00Z</dcterms:created>
  <dcterms:modified xsi:type="dcterms:W3CDTF">2024-07-31T01:23:00Z</dcterms:modified>
</cp:coreProperties>
</file>